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F0489" w14:textId="06FC9736" w:rsidR="00893A3F" w:rsidRDefault="006A1BD6" w:rsidP="0058054A">
      <w:pPr>
        <w:pStyle w:val="Heading2"/>
        <w:rPr>
          <w:rFonts w:cs="Arial"/>
          <w:sz w:val="22"/>
          <w:szCs w:val="20"/>
        </w:rPr>
      </w:pPr>
      <w:r>
        <w:rPr>
          <w:b/>
          <w:noProof/>
          <w:color w:val="auto"/>
          <w:sz w:val="24"/>
          <w:szCs w:val="24"/>
        </w:rPr>
        <w:drawing>
          <wp:anchor distT="0" distB="0" distL="114300" distR="114300" simplePos="0" relativeHeight="251821056" behindDoc="0" locked="0" layoutInCell="1" allowOverlap="1" wp14:anchorId="104F54E6" wp14:editId="1B8FFCFC">
            <wp:simplePos x="0" y="0"/>
            <wp:positionH relativeFrom="column">
              <wp:posOffset>2927350</wp:posOffset>
            </wp:positionH>
            <wp:positionV relativeFrom="paragraph">
              <wp:posOffset>-704850</wp:posOffset>
            </wp:positionV>
            <wp:extent cx="3505200" cy="7073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5200" cy="707390"/>
                    </a:xfrm>
                    <a:prstGeom prst="rect">
                      <a:avLst/>
                    </a:prstGeom>
                    <a:noFill/>
                  </pic:spPr>
                </pic:pic>
              </a:graphicData>
            </a:graphic>
            <wp14:sizeRelH relativeFrom="page">
              <wp14:pctWidth>0</wp14:pctWidth>
            </wp14:sizeRelH>
            <wp14:sizeRelV relativeFrom="page">
              <wp14:pctHeight>0</wp14:pctHeight>
            </wp14:sizeRelV>
          </wp:anchor>
        </w:drawing>
      </w:r>
    </w:p>
    <w:p w14:paraId="2E810210" w14:textId="77777777" w:rsidR="0058054A" w:rsidRPr="00996ADB" w:rsidRDefault="0058054A" w:rsidP="0058054A">
      <w:pPr>
        <w:jc w:val="both"/>
        <w:rPr>
          <w:rFonts w:cs="Arial"/>
          <w:sz w:val="12"/>
          <w:szCs w:val="12"/>
        </w:rPr>
      </w:pPr>
    </w:p>
    <w:tbl>
      <w:tblPr>
        <w:tblW w:w="9184" w:type="dxa"/>
        <w:tblInd w:w="-5" w:type="dxa"/>
        <w:tblLook w:val="04A0" w:firstRow="1" w:lastRow="0" w:firstColumn="1" w:lastColumn="0" w:noHBand="0" w:noVBand="1"/>
      </w:tblPr>
      <w:tblGrid>
        <w:gridCol w:w="4592"/>
        <w:gridCol w:w="4592"/>
      </w:tblGrid>
      <w:tr w:rsidR="0058054A" w:rsidRPr="00B95CDD" w14:paraId="708C8755" w14:textId="77777777" w:rsidTr="00FE37E0">
        <w:trPr>
          <w:trHeight w:val="348"/>
        </w:trPr>
        <w:tc>
          <w:tcPr>
            <w:tcW w:w="9184" w:type="dxa"/>
            <w:gridSpan w:val="2"/>
            <w:tcBorders>
              <w:bottom w:val="single" w:sz="4" w:space="0" w:color="auto"/>
            </w:tcBorders>
            <w:shd w:val="clear" w:color="auto" w:fill="auto"/>
            <w:vAlign w:val="center"/>
          </w:tcPr>
          <w:p w14:paraId="2638EA98" w14:textId="77777777" w:rsidR="0058054A" w:rsidRPr="00B95CDD" w:rsidRDefault="0058054A" w:rsidP="00FE37E0">
            <w:pPr>
              <w:pStyle w:val="Table-text"/>
              <w:rPr>
                <w:rFonts w:cs="Arial"/>
                <w:b/>
                <w:bCs/>
                <w:sz w:val="22"/>
              </w:rPr>
            </w:pPr>
            <w:r w:rsidRPr="00B95CDD">
              <w:rPr>
                <w:rFonts w:cs="Arial"/>
                <w:b/>
                <w:bCs/>
                <w:sz w:val="22"/>
              </w:rPr>
              <w:t>Committee / Group / Meeting, Date</w:t>
            </w:r>
          </w:p>
        </w:tc>
      </w:tr>
      <w:tr w:rsidR="0058054A" w:rsidRPr="00C9011E" w14:paraId="55A9306A" w14:textId="77777777" w:rsidTr="00FE37E0">
        <w:trPr>
          <w:trHeight w:val="409"/>
        </w:trPr>
        <w:tc>
          <w:tcPr>
            <w:tcW w:w="9184" w:type="dxa"/>
            <w:gridSpan w:val="2"/>
            <w:tcBorders>
              <w:top w:val="single" w:sz="4" w:space="0" w:color="auto"/>
            </w:tcBorders>
            <w:shd w:val="clear" w:color="auto" w:fill="auto"/>
            <w:vAlign w:val="center"/>
          </w:tcPr>
          <w:p w14:paraId="3D6137DF" w14:textId="634DE522" w:rsidR="0058054A" w:rsidRPr="007E1D8B" w:rsidRDefault="0058054A" w:rsidP="00FE37E0">
            <w:pPr>
              <w:pStyle w:val="Table-text"/>
              <w:rPr>
                <w:rFonts w:cs="Arial"/>
                <w:iCs/>
              </w:rPr>
            </w:pPr>
            <w:r w:rsidRPr="00D7191D">
              <w:rPr>
                <w:rFonts w:cs="Arial"/>
                <w:iCs/>
              </w:rPr>
              <w:t>Infection Prevention and Control &amp; Cleanliness Meeting 25</w:t>
            </w:r>
            <w:r w:rsidRPr="00D7191D">
              <w:rPr>
                <w:rFonts w:cs="Arial"/>
                <w:iCs/>
                <w:vertAlign w:val="superscript"/>
              </w:rPr>
              <w:t>th</w:t>
            </w:r>
            <w:r w:rsidRPr="00D7191D">
              <w:rPr>
                <w:rFonts w:cs="Arial"/>
                <w:iCs/>
              </w:rPr>
              <w:t xml:space="preserve"> July 2023</w:t>
            </w:r>
          </w:p>
        </w:tc>
      </w:tr>
      <w:tr w:rsidR="0058054A" w:rsidRPr="00B95CDD" w14:paraId="6DA34116" w14:textId="77777777" w:rsidTr="00FE37E0">
        <w:trPr>
          <w:trHeight w:val="235"/>
        </w:trPr>
        <w:tc>
          <w:tcPr>
            <w:tcW w:w="4592" w:type="dxa"/>
            <w:tcBorders>
              <w:bottom w:val="single" w:sz="4" w:space="0" w:color="auto"/>
            </w:tcBorders>
            <w:shd w:val="clear" w:color="auto" w:fill="auto"/>
            <w:vAlign w:val="center"/>
            <w:hideMark/>
          </w:tcPr>
          <w:p w14:paraId="56B33A82" w14:textId="77777777" w:rsidR="0058054A" w:rsidRPr="00B95CDD" w:rsidRDefault="0058054A" w:rsidP="00FE37E0">
            <w:pPr>
              <w:pStyle w:val="Table-text"/>
              <w:spacing w:before="0" w:after="0"/>
              <w:rPr>
                <w:rFonts w:cs="Arial"/>
                <w:b/>
                <w:bCs/>
                <w:sz w:val="22"/>
              </w:rPr>
            </w:pPr>
            <w:r w:rsidRPr="00B95CDD">
              <w:rPr>
                <w:rFonts w:cs="Arial"/>
                <w:b/>
                <w:bCs/>
                <w:sz w:val="22"/>
              </w:rPr>
              <w:t>Author:</w:t>
            </w:r>
          </w:p>
        </w:tc>
        <w:tc>
          <w:tcPr>
            <w:tcW w:w="4592" w:type="dxa"/>
            <w:tcBorders>
              <w:bottom w:val="single" w:sz="4" w:space="0" w:color="auto"/>
            </w:tcBorders>
            <w:shd w:val="clear" w:color="auto" w:fill="auto"/>
            <w:vAlign w:val="center"/>
            <w:hideMark/>
          </w:tcPr>
          <w:p w14:paraId="34D86B90" w14:textId="77777777" w:rsidR="0058054A" w:rsidRPr="00B95CDD" w:rsidRDefault="0058054A" w:rsidP="00FE37E0">
            <w:pPr>
              <w:pStyle w:val="Table-text"/>
              <w:rPr>
                <w:rFonts w:cs="Arial"/>
                <w:b/>
                <w:bCs/>
                <w:strike/>
                <w:sz w:val="22"/>
              </w:rPr>
            </w:pPr>
            <w:r w:rsidRPr="00B95CDD">
              <w:rPr>
                <w:rFonts w:cs="Arial"/>
                <w:b/>
                <w:bCs/>
                <w:sz w:val="22"/>
              </w:rPr>
              <w:t>Contributors:</w:t>
            </w:r>
          </w:p>
        </w:tc>
      </w:tr>
      <w:tr w:rsidR="0058054A" w14:paraId="574C3FB4" w14:textId="77777777" w:rsidTr="00FE37E0">
        <w:trPr>
          <w:trHeight w:val="737"/>
        </w:trPr>
        <w:tc>
          <w:tcPr>
            <w:tcW w:w="4592" w:type="dxa"/>
            <w:tcBorders>
              <w:top w:val="single" w:sz="4" w:space="0" w:color="auto"/>
            </w:tcBorders>
            <w:shd w:val="clear" w:color="auto" w:fill="FFFFFF" w:themeFill="background1"/>
            <w:vAlign w:val="center"/>
          </w:tcPr>
          <w:p w14:paraId="2B04D7AA" w14:textId="77777777" w:rsidR="0058054A" w:rsidRPr="00D57AE8" w:rsidRDefault="0058054A" w:rsidP="00FE37E0">
            <w:pPr>
              <w:pStyle w:val="Table-text"/>
              <w:spacing w:before="0" w:after="0"/>
              <w:rPr>
                <w:rFonts w:cs="Arial"/>
                <w:szCs w:val="20"/>
              </w:rPr>
            </w:pPr>
            <w:r w:rsidRPr="00D57AE8">
              <w:rPr>
                <w:rFonts w:cs="Arial"/>
                <w:szCs w:val="20"/>
              </w:rPr>
              <w:t xml:space="preserve">Name: </w:t>
            </w:r>
            <w:r>
              <w:rPr>
                <w:rFonts w:cs="Arial"/>
                <w:szCs w:val="20"/>
              </w:rPr>
              <w:t>Samantha Young</w:t>
            </w:r>
          </w:p>
          <w:p w14:paraId="73D2532C" w14:textId="77777777" w:rsidR="0058054A" w:rsidRPr="00242D33" w:rsidRDefault="0058054A" w:rsidP="00FE37E0">
            <w:pPr>
              <w:pStyle w:val="Table-text"/>
              <w:spacing w:before="0" w:after="0"/>
              <w:rPr>
                <w:rFonts w:cs="Arial"/>
                <w:szCs w:val="20"/>
              </w:rPr>
            </w:pPr>
            <w:r w:rsidRPr="00D57AE8">
              <w:rPr>
                <w:rFonts w:cs="Arial"/>
                <w:szCs w:val="20"/>
              </w:rPr>
              <w:t>Role/Title:</w:t>
            </w:r>
            <w:r>
              <w:rPr>
                <w:rFonts w:cs="Arial"/>
                <w:b/>
                <w:bCs/>
                <w:szCs w:val="20"/>
              </w:rPr>
              <w:t xml:space="preserve"> </w:t>
            </w:r>
            <w:r w:rsidRPr="00D7191D">
              <w:rPr>
                <w:rFonts w:cs="Arial"/>
                <w:szCs w:val="20"/>
              </w:rPr>
              <w:t xml:space="preserve">Associate Director </w:t>
            </w:r>
            <w:r>
              <w:rPr>
                <w:rFonts w:cs="Arial"/>
                <w:szCs w:val="20"/>
              </w:rPr>
              <w:t xml:space="preserve">for </w:t>
            </w:r>
            <w:r w:rsidRPr="00D7191D">
              <w:rPr>
                <w:rFonts w:cs="Arial"/>
                <w:szCs w:val="20"/>
              </w:rPr>
              <w:t>IPC</w:t>
            </w:r>
          </w:p>
        </w:tc>
        <w:tc>
          <w:tcPr>
            <w:tcW w:w="4592" w:type="dxa"/>
            <w:tcBorders>
              <w:top w:val="single" w:sz="4" w:space="0" w:color="auto"/>
            </w:tcBorders>
            <w:shd w:val="clear" w:color="auto" w:fill="FFFFFF" w:themeFill="background1"/>
            <w:vAlign w:val="center"/>
          </w:tcPr>
          <w:p w14:paraId="66CDA496" w14:textId="77777777" w:rsidR="0058054A" w:rsidRDefault="0058054A" w:rsidP="00FE37E0">
            <w:pPr>
              <w:pStyle w:val="Table-text"/>
              <w:rPr>
                <w:rFonts w:cs="Arial"/>
                <w:iCs/>
              </w:rPr>
            </w:pPr>
            <w:r>
              <w:rPr>
                <w:rFonts w:cs="Arial"/>
                <w:iCs/>
              </w:rPr>
              <w:t>Anna Morris – IPC Clinical Lead</w:t>
            </w:r>
          </w:p>
          <w:p w14:paraId="7A2FF404" w14:textId="77777777" w:rsidR="0058054A" w:rsidRDefault="0058054A" w:rsidP="00FE37E0">
            <w:pPr>
              <w:pStyle w:val="Table-text"/>
              <w:rPr>
                <w:rFonts w:cs="Arial"/>
                <w:iCs/>
              </w:rPr>
            </w:pPr>
            <w:r>
              <w:rPr>
                <w:rFonts w:cs="Arial"/>
                <w:iCs/>
              </w:rPr>
              <w:t>Hayley Gingell – IPC Assurance Lead</w:t>
            </w:r>
          </w:p>
          <w:p w14:paraId="1CB14261" w14:textId="77777777" w:rsidR="0058054A" w:rsidRPr="004A6D29" w:rsidRDefault="0058054A" w:rsidP="00FE37E0">
            <w:pPr>
              <w:pStyle w:val="Table-text"/>
              <w:rPr>
                <w:rFonts w:cs="Arial"/>
                <w:iCs/>
              </w:rPr>
            </w:pPr>
            <w:r>
              <w:rPr>
                <w:rFonts w:cs="Arial"/>
                <w:iCs/>
              </w:rPr>
              <w:t>Sian Langford – Estates and Facilities</w:t>
            </w:r>
          </w:p>
        </w:tc>
      </w:tr>
      <w:tr w:rsidR="0058054A" w:rsidRPr="00B95CDD" w14:paraId="3B9B4070" w14:textId="77777777" w:rsidTr="00FE37E0">
        <w:tc>
          <w:tcPr>
            <w:tcW w:w="9184" w:type="dxa"/>
            <w:gridSpan w:val="2"/>
            <w:tcBorders>
              <w:bottom w:val="single" w:sz="4" w:space="0" w:color="auto"/>
            </w:tcBorders>
            <w:shd w:val="clear" w:color="auto" w:fill="auto"/>
            <w:vAlign w:val="center"/>
          </w:tcPr>
          <w:p w14:paraId="2334CCA3" w14:textId="77777777" w:rsidR="0058054A" w:rsidRPr="00B95CDD" w:rsidRDefault="0058054A" w:rsidP="00FE37E0">
            <w:pPr>
              <w:pStyle w:val="Table-text"/>
              <w:spacing w:before="0" w:after="0"/>
              <w:rPr>
                <w:rFonts w:cs="Arial"/>
                <w:b/>
                <w:bCs/>
                <w:sz w:val="22"/>
              </w:rPr>
            </w:pPr>
            <w:r w:rsidRPr="00B95CDD">
              <w:rPr>
                <w:rFonts w:cs="Arial"/>
                <w:b/>
                <w:bCs/>
                <w:sz w:val="22"/>
              </w:rPr>
              <w:t>Report sign-off</w:t>
            </w:r>
            <w:r w:rsidRPr="00B95CDD">
              <w:rPr>
                <w:rFonts w:cs="Arial"/>
                <w:b/>
                <w:bCs/>
                <w:iCs/>
                <w:sz w:val="22"/>
              </w:rPr>
              <w:t>:</w:t>
            </w:r>
          </w:p>
        </w:tc>
      </w:tr>
      <w:tr w:rsidR="0058054A" w:rsidRPr="00C9011E" w14:paraId="3E6A5D32" w14:textId="77777777" w:rsidTr="00FE37E0">
        <w:tc>
          <w:tcPr>
            <w:tcW w:w="9184" w:type="dxa"/>
            <w:gridSpan w:val="2"/>
            <w:tcBorders>
              <w:top w:val="single" w:sz="4" w:space="0" w:color="auto"/>
            </w:tcBorders>
            <w:shd w:val="clear" w:color="auto" w:fill="FFFFFF" w:themeFill="background1"/>
            <w:vAlign w:val="center"/>
          </w:tcPr>
          <w:p w14:paraId="70CFF42F" w14:textId="77777777" w:rsidR="0058054A" w:rsidRDefault="0058054A" w:rsidP="00FE37E0">
            <w:pPr>
              <w:pStyle w:val="Table-text"/>
              <w:spacing w:before="0" w:after="0"/>
              <w:rPr>
                <w:rFonts w:cs="Arial"/>
                <w:szCs w:val="20"/>
              </w:rPr>
            </w:pPr>
          </w:p>
          <w:p w14:paraId="05558F62" w14:textId="77777777" w:rsidR="0058054A" w:rsidRPr="007E1D8B" w:rsidRDefault="0058054A" w:rsidP="00FE37E0">
            <w:pPr>
              <w:pStyle w:val="Table-text"/>
              <w:spacing w:before="0" w:after="0"/>
              <w:rPr>
                <w:rFonts w:cs="Arial"/>
                <w:szCs w:val="20"/>
              </w:rPr>
            </w:pPr>
          </w:p>
        </w:tc>
      </w:tr>
      <w:tr w:rsidR="0058054A" w:rsidRPr="00C9011E" w14:paraId="61EC3230" w14:textId="77777777" w:rsidTr="00FE37E0">
        <w:tc>
          <w:tcPr>
            <w:tcW w:w="9184" w:type="dxa"/>
            <w:gridSpan w:val="2"/>
            <w:tcBorders>
              <w:bottom w:val="single" w:sz="4" w:space="0" w:color="auto"/>
            </w:tcBorders>
            <w:shd w:val="clear" w:color="auto" w:fill="FFFFFF" w:themeFill="background1"/>
            <w:vAlign w:val="center"/>
          </w:tcPr>
          <w:p w14:paraId="118622A8" w14:textId="77777777" w:rsidR="0058054A" w:rsidRPr="00CD1147" w:rsidRDefault="0058054A" w:rsidP="00FE37E0">
            <w:pPr>
              <w:pStyle w:val="Table-text"/>
              <w:spacing w:before="0" w:after="0"/>
              <w:rPr>
                <w:rFonts w:cs="Arial"/>
                <w:b/>
                <w:bCs/>
                <w:iCs/>
                <w:szCs w:val="20"/>
              </w:rPr>
            </w:pPr>
            <w:r w:rsidRPr="00CD1147">
              <w:rPr>
                <w:rFonts w:cs="Arial"/>
                <w:b/>
                <w:bCs/>
                <w:iCs/>
                <w:szCs w:val="20"/>
              </w:rPr>
              <w:t xml:space="preserve">Is the report suitable for </w:t>
            </w:r>
            <w:proofErr w:type="gramStart"/>
            <w:r w:rsidRPr="00CD1147">
              <w:rPr>
                <w:rFonts w:cs="Arial"/>
                <w:b/>
                <w:bCs/>
                <w:iCs/>
                <w:szCs w:val="20"/>
              </w:rPr>
              <w:t>publication?</w:t>
            </w:r>
            <w:r>
              <w:rPr>
                <w:rFonts w:cs="Arial"/>
                <w:b/>
                <w:bCs/>
                <w:iCs/>
                <w:szCs w:val="20"/>
              </w:rPr>
              <w:t>:</w:t>
            </w:r>
            <w:proofErr w:type="gramEnd"/>
          </w:p>
        </w:tc>
      </w:tr>
      <w:tr w:rsidR="0058054A" w:rsidRPr="00C9011E" w14:paraId="308F29A2" w14:textId="77777777" w:rsidTr="00FE37E0">
        <w:tc>
          <w:tcPr>
            <w:tcW w:w="9184" w:type="dxa"/>
            <w:gridSpan w:val="2"/>
            <w:tcBorders>
              <w:top w:val="single" w:sz="4" w:space="0" w:color="auto"/>
            </w:tcBorders>
            <w:shd w:val="clear" w:color="auto" w:fill="FFFFFF" w:themeFill="background1"/>
            <w:vAlign w:val="center"/>
          </w:tcPr>
          <w:p w14:paraId="3D4E4D41" w14:textId="77777777" w:rsidR="0058054A" w:rsidRPr="00D7191D" w:rsidRDefault="0058054A" w:rsidP="00FE37E0">
            <w:pPr>
              <w:pStyle w:val="Table-text"/>
              <w:spacing w:before="0" w:after="0"/>
              <w:rPr>
                <w:rFonts w:cs="Arial"/>
                <w:iCs/>
                <w:szCs w:val="20"/>
              </w:rPr>
            </w:pPr>
            <w:r w:rsidRPr="00D7191D">
              <w:rPr>
                <w:rFonts w:cs="Arial"/>
                <w:iCs/>
                <w:szCs w:val="20"/>
              </w:rPr>
              <w:t>NO</w:t>
            </w:r>
          </w:p>
          <w:p w14:paraId="7FF68D14" w14:textId="77777777" w:rsidR="0058054A" w:rsidRPr="00CD1147" w:rsidRDefault="0058054A" w:rsidP="00FE37E0">
            <w:pPr>
              <w:pStyle w:val="Table-text"/>
              <w:spacing w:before="0" w:after="0"/>
              <w:rPr>
                <w:rFonts w:cs="Arial"/>
                <w:iCs/>
                <w:szCs w:val="20"/>
              </w:rPr>
            </w:pPr>
          </w:p>
        </w:tc>
      </w:tr>
      <w:tr w:rsidR="0058054A" w:rsidRPr="00B95CDD" w14:paraId="620D749C" w14:textId="77777777" w:rsidTr="00FE37E0">
        <w:tc>
          <w:tcPr>
            <w:tcW w:w="9184" w:type="dxa"/>
            <w:gridSpan w:val="2"/>
            <w:tcBorders>
              <w:bottom w:val="single" w:sz="4" w:space="0" w:color="auto"/>
            </w:tcBorders>
            <w:shd w:val="clear" w:color="auto" w:fill="auto"/>
            <w:vAlign w:val="center"/>
          </w:tcPr>
          <w:p w14:paraId="7F3CFEF2" w14:textId="77777777" w:rsidR="0058054A" w:rsidRPr="00B95CDD" w:rsidRDefault="0058054A" w:rsidP="00FE37E0">
            <w:pPr>
              <w:pStyle w:val="Table-text"/>
              <w:spacing w:before="0" w:after="0"/>
              <w:rPr>
                <w:rFonts w:cs="Arial"/>
                <w:b/>
                <w:bCs/>
                <w:sz w:val="22"/>
              </w:rPr>
            </w:pPr>
            <w:r w:rsidRPr="00B95CDD">
              <w:rPr>
                <w:rFonts w:cs="Arial"/>
                <w:b/>
                <w:bCs/>
                <w:sz w:val="22"/>
              </w:rPr>
              <w:t>Key issues and considerations</w:t>
            </w:r>
            <w:r>
              <w:rPr>
                <w:rFonts w:cs="Arial"/>
                <w:b/>
                <w:bCs/>
                <w:sz w:val="22"/>
              </w:rPr>
              <w:t>:</w:t>
            </w:r>
          </w:p>
        </w:tc>
      </w:tr>
      <w:tr w:rsidR="0058054A" w:rsidRPr="00C9011E" w14:paraId="608473FE" w14:textId="77777777" w:rsidTr="00FE37E0">
        <w:tc>
          <w:tcPr>
            <w:tcW w:w="9184" w:type="dxa"/>
            <w:gridSpan w:val="2"/>
            <w:tcBorders>
              <w:top w:val="single" w:sz="4" w:space="0" w:color="auto"/>
            </w:tcBorders>
            <w:shd w:val="clear" w:color="auto" w:fill="FFFFFF" w:themeFill="background1"/>
            <w:vAlign w:val="center"/>
          </w:tcPr>
          <w:p w14:paraId="393F77B0" w14:textId="77777777" w:rsidR="0058054A" w:rsidRPr="003210F4" w:rsidRDefault="0058054A" w:rsidP="00FE37E0">
            <w:pPr>
              <w:rPr>
                <w:rFonts w:cs="Arial"/>
                <w:sz w:val="20"/>
                <w:szCs w:val="20"/>
              </w:rPr>
            </w:pPr>
            <w:r w:rsidRPr="003210F4">
              <w:rPr>
                <w:rFonts w:cs="Arial"/>
                <w:sz w:val="20"/>
                <w:szCs w:val="20"/>
              </w:rPr>
              <w:t>Th</w:t>
            </w:r>
            <w:r>
              <w:rPr>
                <w:rFonts w:cs="Arial"/>
                <w:sz w:val="20"/>
                <w:szCs w:val="20"/>
              </w:rPr>
              <w:t xml:space="preserve">e IPC Annual Report </w:t>
            </w:r>
            <w:r w:rsidRPr="003210F4">
              <w:rPr>
                <w:rFonts w:cs="Arial"/>
                <w:sz w:val="20"/>
                <w:szCs w:val="20"/>
              </w:rPr>
              <w:t xml:space="preserve">demonstrates the activities of RJAH relating to infection prevention and control from April 2022 to March 2023, including progress made against the work plan and targets identified in the Infection Prevention and Control Annual Programme. It also includes performance against key areas in Infection Prevention and Control. Ward specific audits are reported </w:t>
            </w:r>
            <w:proofErr w:type="gramStart"/>
            <w:r w:rsidRPr="003210F4">
              <w:rPr>
                <w:rFonts w:cs="Arial"/>
                <w:sz w:val="20"/>
                <w:szCs w:val="20"/>
              </w:rPr>
              <w:t>on a monthly basis</w:t>
            </w:r>
            <w:proofErr w:type="gramEnd"/>
            <w:r w:rsidRPr="003210F4">
              <w:rPr>
                <w:rFonts w:cs="Arial"/>
                <w:sz w:val="20"/>
                <w:szCs w:val="20"/>
              </w:rPr>
              <w:t xml:space="preserve"> through Trust wide Key Performance Indicators (KPIs).</w:t>
            </w:r>
          </w:p>
          <w:p w14:paraId="52DF6DCF" w14:textId="77777777" w:rsidR="0058054A" w:rsidRPr="007E1D8B" w:rsidRDefault="0058054A" w:rsidP="00FE37E0">
            <w:pPr>
              <w:spacing w:before="0"/>
              <w:rPr>
                <w:rFonts w:cs="Arial"/>
                <w:bCs/>
                <w:i/>
                <w:sz w:val="20"/>
                <w:szCs w:val="18"/>
              </w:rPr>
            </w:pPr>
          </w:p>
        </w:tc>
      </w:tr>
      <w:tr w:rsidR="0058054A" w:rsidRPr="00B95CDD" w14:paraId="6911D8A1" w14:textId="77777777" w:rsidTr="00FE37E0">
        <w:tc>
          <w:tcPr>
            <w:tcW w:w="9184" w:type="dxa"/>
            <w:gridSpan w:val="2"/>
            <w:tcBorders>
              <w:bottom w:val="single" w:sz="4" w:space="0" w:color="auto"/>
            </w:tcBorders>
            <w:shd w:val="clear" w:color="auto" w:fill="auto"/>
            <w:vAlign w:val="center"/>
          </w:tcPr>
          <w:p w14:paraId="5462B04A" w14:textId="77777777" w:rsidR="0058054A" w:rsidRPr="00B95CDD" w:rsidRDefault="0058054A" w:rsidP="00FE37E0">
            <w:pPr>
              <w:pStyle w:val="Table-text"/>
              <w:spacing w:before="0" w:after="0"/>
              <w:rPr>
                <w:rFonts w:cs="Arial"/>
                <w:b/>
                <w:bCs/>
                <w:sz w:val="22"/>
              </w:rPr>
            </w:pPr>
            <w:r>
              <w:rPr>
                <w:rFonts w:cs="Arial"/>
                <w:b/>
                <w:bCs/>
                <w:sz w:val="22"/>
              </w:rPr>
              <w:t>Strategic</w:t>
            </w:r>
            <w:r w:rsidRPr="00B95CDD">
              <w:rPr>
                <w:rFonts w:cs="Arial"/>
                <w:b/>
                <w:bCs/>
                <w:sz w:val="22"/>
              </w:rPr>
              <w:t xml:space="preserve"> objectives and associated risks</w:t>
            </w:r>
            <w:r>
              <w:rPr>
                <w:rFonts w:cs="Arial"/>
                <w:b/>
                <w:bCs/>
                <w:sz w:val="22"/>
              </w:rPr>
              <w:t>:</w:t>
            </w:r>
          </w:p>
        </w:tc>
      </w:tr>
      <w:tr w:rsidR="0058054A" w:rsidRPr="00996ADB" w14:paraId="536E0725" w14:textId="77777777" w:rsidTr="00FE37E0">
        <w:tc>
          <w:tcPr>
            <w:tcW w:w="9184" w:type="dxa"/>
            <w:gridSpan w:val="2"/>
            <w:tcBorders>
              <w:top w:val="single" w:sz="4" w:space="0" w:color="auto"/>
            </w:tcBorders>
            <w:shd w:val="clear" w:color="auto" w:fill="FFFFFF" w:themeFill="background1"/>
            <w:vAlign w:val="center"/>
          </w:tcPr>
          <w:p w14:paraId="6CB078D8" w14:textId="77777777" w:rsidR="0058054A" w:rsidRDefault="0058054A" w:rsidP="00FE37E0">
            <w:pPr>
              <w:rPr>
                <w:sz w:val="20"/>
                <w:szCs w:val="20"/>
              </w:rPr>
            </w:pPr>
            <w:r w:rsidRPr="006F018B">
              <w:rPr>
                <w:sz w:val="20"/>
                <w:szCs w:val="20"/>
              </w:rPr>
              <w:t xml:space="preserve">The report fulfils its statutory requirements under the Health and Social Care Act 2008: Code of Practice on the prevention and control of infection and related guidance, which sets out ten criteria of which a registered provider must be compliant.  The prevention and management of infection is the responsibility of all staff working withing RJAH and is integral to patient safety.  The Infection Prevention and Control Team maintains organisational focus and works collaboratively to deliver the IPC strategy to ensure continued compliance with IPC practices. </w:t>
            </w:r>
          </w:p>
          <w:p w14:paraId="4918E6F0" w14:textId="77777777" w:rsidR="0058054A" w:rsidRDefault="0058054A" w:rsidP="00FE37E0">
            <w:pPr>
              <w:rPr>
                <w:sz w:val="20"/>
                <w:szCs w:val="20"/>
              </w:rPr>
            </w:pPr>
          </w:p>
          <w:tbl>
            <w:tblPr>
              <w:tblStyle w:val="GridTable1Light-Accent1"/>
              <w:tblW w:w="0" w:type="auto"/>
              <w:tblLook w:val="04A0" w:firstRow="1" w:lastRow="0" w:firstColumn="1" w:lastColumn="0" w:noHBand="0" w:noVBand="1"/>
            </w:tblPr>
            <w:tblGrid>
              <w:gridCol w:w="1831"/>
              <w:gridCol w:w="7127"/>
            </w:tblGrid>
            <w:tr w:rsidR="0058054A" w:rsidRPr="00875C82" w14:paraId="5DD10C45" w14:textId="77777777" w:rsidTr="00FE3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B605163" w14:textId="77777777" w:rsidR="0058054A" w:rsidRPr="00875C82" w:rsidRDefault="0058054A" w:rsidP="00FE37E0">
                  <w:pPr>
                    <w:rPr>
                      <w:color w:val="000000" w:themeColor="text1"/>
                      <w:sz w:val="20"/>
                      <w:szCs w:val="20"/>
                    </w:rPr>
                  </w:pPr>
                </w:p>
              </w:tc>
              <w:tc>
                <w:tcPr>
                  <w:tcW w:w="7178" w:type="dxa"/>
                </w:tcPr>
                <w:p w14:paraId="191F38C1" w14:textId="77777777" w:rsidR="0058054A" w:rsidRPr="00875C82" w:rsidRDefault="0058054A" w:rsidP="00FE37E0">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What providers will need to show evidence of</w:t>
                  </w:r>
                </w:p>
              </w:tc>
            </w:tr>
            <w:tr w:rsidR="0058054A" w:rsidRPr="00875C82" w14:paraId="206B8184" w14:textId="77777777" w:rsidTr="00FE37E0">
              <w:tc>
                <w:tcPr>
                  <w:cnfStyle w:val="001000000000" w:firstRow="0" w:lastRow="0" w:firstColumn="1" w:lastColumn="0" w:oddVBand="0" w:evenVBand="0" w:oddHBand="0" w:evenHBand="0" w:firstRowFirstColumn="0" w:firstRowLastColumn="0" w:lastRowFirstColumn="0" w:lastRowLastColumn="0"/>
                  <w:tcW w:w="1838" w:type="dxa"/>
                </w:tcPr>
                <w:p w14:paraId="37D089D6" w14:textId="77777777" w:rsidR="0058054A" w:rsidRPr="00875C82" w:rsidRDefault="0058054A" w:rsidP="00FE37E0">
                  <w:pPr>
                    <w:rPr>
                      <w:color w:val="000000" w:themeColor="text1"/>
                      <w:sz w:val="20"/>
                      <w:szCs w:val="20"/>
                    </w:rPr>
                  </w:pPr>
                  <w:r w:rsidRPr="00875C82">
                    <w:rPr>
                      <w:color w:val="000000" w:themeColor="text1"/>
                      <w:sz w:val="20"/>
                      <w:szCs w:val="20"/>
                    </w:rPr>
                    <w:t xml:space="preserve">Criterion 1 </w:t>
                  </w:r>
                </w:p>
              </w:tc>
              <w:tc>
                <w:tcPr>
                  <w:tcW w:w="7178" w:type="dxa"/>
                </w:tcPr>
                <w:p w14:paraId="56449741" w14:textId="77777777" w:rsidR="0058054A" w:rsidRPr="00875C82" w:rsidRDefault="0058054A" w:rsidP="00FE37E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Systems to manage and monitor the prevention and control of infection. These systems use risk assessments and consider the susceptibility of service users and any risks that their environment and other users may pose to them.</w:t>
                  </w:r>
                </w:p>
              </w:tc>
            </w:tr>
            <w:tr w:rsidR="0058054A" w:rsidRPr="00875C82" w14:paraId="4638109F" w14:textId="77777777" w:rsidTr="00FE37E0">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tcPr>
                <w:p w14:paraId="575463D1" w14:textId="77777777" w:rsidR="0058054A" w:rsidRPr="00875C82" w:rsidRDefault="0058054A" w:rsidP="00FE37E0">
                  <w:pPr>
                    <w:rPr>
                      <w:sz w:val="20"/>
                      <w:szCs w:val="20"/>
                    </w:rPr>
                  </w:pPr>
                  <w:r w:rsidRPr="00875C82">
                    <w:rPr>
                      <w:sz w:val="20"/>
                      <w:szCs w:val="20"/>
                    </w:rPr>
                    <w:t xml:space="preserve">Criterion 2 </w:t>
                  </w:r>
                </w:p>
              </w:tc>
              <w:tc>
                <w:tcPr>
                  <w:tcW w:w="7178" w:type="dxa"/>
                  <w:shd w:val="clear" w:color="auto" w:fill="C6D9F1" w:themeFill="text2" w:themeFillTint="33"/>
                </w:tcPr>
                <w:p w14:paraId="5B8631F9" w14:textId="77777777" w:rsidR="0058054A" w:rsidRPr="00875C82" w:rsidRDefault="0058054A" w:rsidP="00FE37E0">
                  <w:pPr>
                    <w:cnfStyle w:val="000000000000" w:firstRow="0" w:lastRow="0" w:firstColumn="0" w:lastColumn="0" w:oddVBand="0" w:evenVBand="0" w:oddHBand="0" w:evenHBand="0" w:firstRowFirstColumn="0" w:firstRowLastColumn="0" w:lastRowFirstColumn="0" w:lastRowLastColumn="0"/>
                    <w:rPr>
                      <w:sz w:val="20"/>
                      <w:szCs w:val="20"/>
                    </w:rPr>
                  </w:pPr>
                  <w:r w:rsidRPr="00875C82">
                    <w:rPr>
                      <w:sz w:val="20"/>
                      <w:szCs w:val="20"/>
                    </w:rPr>
                    <w:t>Provide and maintain a clean and appropriate environment in managed premises that facilitates the prevention and control of infections</w:t>
                  </w:r>
                </w:p>
              </w:tc>
            </w:tr>
            <w:tr w:rsidR="0058054A" w:rsidRPr="00875C82" w14:paraId="2CDE54B2" w14:textId="77777777" w:rsidTr="00FE37E0">
              <w:tc>
                <w:tcPr>
                  <w:cnfStyle w:val="001000000000" w:firstRow="0" w:lastRow="0" w:firstColumn="1" w:lastColumn="0" w:oddVBand="0" w:evenVBand="0" w:oddHBand="0" w:evenHBand="0" w:firstRowFirstColumn="0" w:firstRowLastColumn="0" w:lastRowFirstColumn="0" w:lastRowLastColumn="0"/>
                  <w:tcW w:w="1838" w:type="dxa"/>
                </w:tcPr>
                <w:p w14:paraId="6FE28491" w14:textId="77777777" w:rsidR="0058054A" w:rsidRPr="00875C82" w:rsidRDefault="0058054A" w:rsidP="00FE37E0">
                  <w:pPr>
                    <w:rPr>
                      <w:color w:val="000000" w:themeColor="text1"/>
                      <w:sz w:val="20"/>
                      <w:szCs w:val="20"/>
                    </w:rPr>
                  </w:pPr>
                  <w:r w:rsidRPr="00875C82">
                    <w:rPr>
                      <w:color w:val="000000" w:themeColor="text1"/>
                      <w:sz w:val="20"/>
                      <w:szCs w:val="20"/>
                    </w:rPr>
                    <w:t>Criterion 3</w:t>
                  </w:r>
                </w:p>
              </w:tc>
              <w:tc>
                <w:tcPr>
                  <w:tcW w:w="7178" w:type="dxa"/>
                </w:tcPr>
                <w:p w14:paraId="6004A297" w14:textId="77777777" w:rsidR="0058054A" w:rsidRPr="00875C82" w:rsidRDefault="0058054A" w:rsidP="00FE37E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Ensure appropriate antimicrobial use to optimise patient outcomes and to reduce the risk of adverse events and antimicrobial resistance</w:t>
                  </w:r>
                </w:p>
              </w:tc>
            </w:tr>
            <w:tr w:rsidR="0058054A" w:rsidRPr="00875C82" w14:paraId="0F65F314" w14:textId="77777777" w:rsidTr="00FE37E0">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tcPr>
                <w:p w14:paraId="68640255" w14:textId="77777777" w:rsidR="0058054A" w:rsidRPr="00875C82" w:rsidRDefault="0058054A" w:rsidP="00FE37E0">
                  <w:pPr>
                    <w:rPr>
                      <w:color w:val="000000" w:themeColor="text1"/>
                      <w:sz w:val="20"/>
                      <w:szCs w:val="20"/>
                    </w:rPr>
                  </w:pPr>
                  <w:r w:rsidRPr="00875C82">
                    <w:rPr>
                      <w:color w:val="000000" w:themeColor="text1"/>
                      <w:sz w:val="20"/>
                      <w:szCs w:val="20"/>
                    </w:rPr>
                    <w:t>Criterion 4</w:t>
                  </w:r>
                </w:p>
              </w:tc>
              <w:tc>
                <w:tcPr>
                  <w:tcW w:w="7178" w:type="dxa"/>
                  <w:shd w:val="clear" w:color="auto" w:fill="C6D9F1" w:themeFill="text2" w:themeFillTint="33"/>
                </w:tcPr>
                <w:p w14:paraId="5FBA76A1" w14:textId="77777777" w:rsidR="0058054A" w:rsidRPr="00875C82" w:rsidRDefault="0058054A" w:rsidP="00FE37E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Provide suitable accurate information on infections to service users, their visitors and any person concerned with providing further support or nursing/medical care in a timely fashion</w:t>
                  </w:r>
                </w:p>
              </w:tc>
            </w:tr>
            <w:tr w:rsidR="0058054A" w:rsidRPr="00875C82" w14:paraId="0AD3EDA2" w14:textId="77777777" w:rsidTr="00FE37E0">
              <w:tc>
                <w:tcPr>
                  <w:cnfStyle w:val="001000000000" w:firstRow="0" w:lastRow="0" w:firstColumn="1" w:lastColumn="0" w:oddVBand="0" w:evenVBand="0" w:oddHBand="0" w:evenHBand="0" w:firstRowFirstColumn="0" w:firstRowLastColumn="0" w:lastRowFirstColumn="0" w:lastRowLastColumn="0"/>
                  <w:tcW w:w="1838" w:type="dxa"/>
                </w:tcPr>
                <w:p w14:paraId="552B1204" w14:textId="77777777" w:rsidR="0058054A" w:rsidRPr="00875C82" w:rsidRDefault="0058054A" w:rsidP="00FE37E0">
                  <w:pPr>
                    <w:rPr>
                      <w:color w:val="000000" w:themeColor="text1"/>
                      <w:sz w:val="20"/>
                      <w:szCs w:val="20"/>
                    </w:rPr>
                  </w:pPr>
                  <w:r w:rsidRPr="00875C82">
                    <w:rPr>
                      <w:color w:val="000000" w:themeColor="text1"/>
                      <w:sz w:val="20"/>
                      <w:szCs w:val="20"/>
                    </w:rPr>
                    <w:t>Criterion 5</w:t>
                  </w:r>
                </w:p>
              </w:tc>
              <w:tc>
                <w:tcPr>
                  <w:tcW w:w="7178" w:type="dxa"/>
                </w:tcPr>
                <w:p w14:paraId="705F15CB" w14:textId="77777777" w:rsidR="0058054A" w:rsidRPr="00875C82" w:rsidRDefault="0058054A" w:rsidP="00FE37E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Ensure that people who have or at risk of developing an infection are identified promptly and receive the appropriate treatment and care to reduce the risk of transmission of infection to other people.</w:t>
                  </w:r>
                </w:p>
              </w:tc>
            </w:tr>
            <w:tr w:rsidR="0058054A" w:rsidRPr="00875C82" w14:paraId="5263C97B" w14:textId="77777777" w:rsidTr="00FE37E0">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tcPr>
                <w:p w14:paraId="7F500E14" w14:textId="77777777" w:rsidR="0058054A" w:rsidRPr="00875C82" w:rsidRDefault="0058054A" w:rsidP="00FE37E0">
                  <w:pPr>
                    <w:rPr>
                      <w:color w:val="000000" w:themeColor="text1"/>
                      <w:sz w:val="20"/>
                      <w:szCs w:val="20"/>
                    </w:rPr>
                  </w:pPr>
                  <w:r w:rsidRPr="00875C82">
                    <w:rPr>
                      <w:color w:val="000000" w:themeColor="text1"/>
                      <w:sz w:val="20"/>
                      <w:szCs w:val="20"/>
                    </w:rPr>
                    <w:t>Criterion 6</w:t>
                  </w:r>
                </w:p>
              </w:tc>
              <w:tc>
                <w:tcPr>
                  <w:tcW w:w="7178" w:type="dxa"/>
                  <w:shd w:val="clear" w:color="auto" w:fill="C6D9F1" w:themeFill="text2" w:themeFillTint="33"/>
                </w:tcPr>
                <w:p w14:paraId="3D39183E" w14:textId="77777777" w:rsidR="0058054A" w:rsidRPr="00875C82" w:rsidRDefault="0058054A" w:rsidP="00FE37E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Systems to ensure that all care workers (including contractors and volunteers) are aware of and discharge their responsibilities in the process of preventing and controlling infection.</w:t>
                  </w:r>
                </w:p>
              </w:tc>
            </w:tr>
            <w:tr w:rsidR="0058054A" w:rsidRPr="00875C82" w14:paraId="33D13E52" w14:textId="77777777" w:rsidTr="00FE37E0">
              <w:tc>
                <w:tcPr>
                  <w:cnfStyle w:val="001000000000" w:firstRow="0" w:lastRow="0" w:firstColumn="1" w:lastColumn="0" w:oddVBand="0" w:evenVBand="0" w:oddHBand="0" w:evenHBand="0" w:firstRowFirstColumn="0" w:firstRowLastColumn="0" w:lastRowFirstColumn="0" w:lastRowLastColumn="0"/>
                  <w:tcW w:w="1838" w:type="dxa"/>
                </w:tcPr>
                <w:p w14:paraId="59354E0C" w14:textId="77777777" w:rsidR="0058054A" w:rsidRPr="00875C82" w:rsidRDefault="0058054A" w:rsidP="00FE37E0">
                  <w:pPr>
                    <w:rPr>
                      <w:color w:val="000000" w:themeColor="text1"/>
                      <w:sz w:val="20"/>
                      <w:szCs w:val="20"/>
                    </w:rPr>
                  </w:pPr>
                  <w:r w:rsidRPr="00875C82">
                    <w:rPr>
                      <w:color w:val="000000" w:themeColor="text1"/>
                      <w:sz w:val="20"/>
                      <w:szCs w:val="20"/>
                    </w:rPr>
                    <w:t>Criterion 7</w:t>
                  </w:r>
                </w:p>
              </w:tc>
              <w:tc>
                <w:tcPr>
                  <w:tcW w:w="7178" w:type="dxa"/>
                </w:tcPr>
                <w:p w14:paraId="6CFFFE72" w14:textId="77777777" w:rsidR="0058054A" w:rsidRPr="00875C82" w:rsidRDefault="0058054A" w:rsidP="00FE37E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Provide or secure adequate isolation facilities.</w:t>
                  </w:r>
                </w:p>
              </w:tc>
            </w:tr>
            <w:tr w:rsidR="0058054A" w:rsidRPr="00875C82" w14:paraId="4A82F68E" w14:textId="77777777" w:rsidTr="00FE37E0">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tcPr>
                <w:p w14:paraId="7D50A0A2" w14:textId="77777777" w:rsidR="0058054A" w:rsidRPr="00875C82" w:rsidRDefault="0058054A" w:rsidP="00FE37E0">
                  <w:pPr>
                    <w:rPr>
                      <w:color w:val="000000" w:themeColor="text1"/>
                      <w:sz w:val="20"/>
                      <w:szCs w:val="20"/>
                    </w:rPr>
                  </w:pPr>
                  <w:r w:rsidRPr="00875C82">
                    <w:rPr>
                      <w:color w:val="000000" w:themeColor="text1"/>
                      <w:sz w:val="20"/>
                      <w:szCs w:val="20"/>
                    </w:rPr>
                    <w:t>Criterion 8</w:t>
                  </w:r>
                </w:p>
              </w:tc>
              <w:tc>
                <w:tcPr>
                  <w:tcW w:w="7178" w:type="dxa"/>
                  <w:shd w:val="clear" w:color="auto" w:fill="C6D9F1" w:themeFill="text2" w:themeFillTint="33"/>
                </w:tcPr>
                <w:p w14:paraId="192F66AF" w14:textId="77777777" w:rsidR="0058054A" w:rsidRPr="00875C82" w:rsidRDefault="0058054A" w:rsidP="00FE37E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Secure adequate access to laboratory support as appropriate</w:t>
                  </w:r>
                </w:p>
              </w:tc>
            </w:tr>
            <w:tr w:rsidR="0058054A" w:rsidRPr="00875C82" w14:paraId="60B27EB0" w14:textId="77777777" w:rsidTr="00FE37E0">
              <w:tc>
                <w:tcPr>
                  <w:cnfStyle w:val="001000000000" w:firstRow="0" w:lastRow="0" w:firstColumn="1" w:lastColumn="0" w:oddVBand="0" w:evenVBand="0" w:oddHBand="0" w:evenHBand="0" w:firstRowFirstColumn="0" w:firstRowLastColumn="0" w:lastRowFirstColumn="0" w:lastRowLastColumn="0"/>
                  <w:tcW w:w="1838" w:type="dxa"/>
                </w:tcPr>
                <w:p w14:paraId="1D397B28" w14:textId="77777777" w:rsidR="0058054A" w:rsidRPr="00875C82" w:rsidRDefault="0058054A" w:rsidP="00FE37E0">
                  <w:pPr>
                    <w:rPr>
                      <w:color w:val="000000" w:themeColor="text1"/>
                      <w:sz w:val="20"/>
                      <w:szCs w:val="20"/>
                    </w:rPr>
                  </w:pPr>
                  <w:r w:rsidRPr="00875C82">
                    <w:rPr>
                      <w:color w:val="000000" w:themeColor="text1"/>
                      <w:sz w:val="20"/>
                      <w:szCs w:val="20"/>
                    </w:rPr>
                    <w:lastRenderedPageBreak/>
                    <w:t>Criterion 9</w:t>
                  </w:r>
                </w:p>
              </w:tc>
              <w:tc>
                <w:tcPr>
                  <w:tcW w:w="7178" w:type="dxa"/>
                </w:tcPr>
                <w:p w14:paraId="413671A4" w14:textId="77777777" w:rsidR="0058054A" w:rsidRPr="00875C82" w:rsidRDefault="0058054A" w:rsidP="00FE37E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Have and adhere to policies, designed for the individual’s care and provider organisations that will help to prevent and control infections.</w:t>
                  </w:r>
                </w:p>
              </w:tc>
            </w:tr>
            <w:tr w:rsidR="0058054A" w:rsidRPr="00875C82" w14:paraId="4F7C133F" w14:textId="77777777" w:rsidTr="00FE37E0">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tcPr>
                <w:p w14:paraId="3AB3052C" w14:textId="77777777" w:rsidR="0058054A" w:rsidRPr="00875C82" w:rsidRDefault="0058054A" w:rsidP="00FE37E0">
                  <w:pPr>
                    <w:rPr>
                      <w:color w:val="000000" w:themeColor="text1"/>
                      <w:sz w:val="20"/>
                      <w:szCs w:val="20"/>
                    </w:rPr>
                  </w:pPr>
                  <w:r w:rsidRPr="00875C82">
                    <w:rPr>
                      <w:color w:val="000000" w:themeColor="text1"/>
                      <w:sz w:val="20"/>
                      <w:szCs w:val="20"/>
                    </w:rPr>
                    <w:t xml:space="preserve">Criterion 10 </w:t>
                  </w:r>
                </w:p>
              </w:tc>
              <w:tc>
                <w:tcPr>
                  <w:tcW w:w="7178" w:type="dxa"/>
                  <w:shd w:val="clear" w:color="auto" w:fill="C6D9F1" w:themeFill="text2" w:themeFillTint="33"/>
                </w:tcPr>
                <w:p w14:paraId="00DA3DA8" w14:textId="77777777" w:rsidR="0058054A" w:rsidRPr="00875C82" w:rsidRDefault="0058054A" w:rsidP="00FE37E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Providers have a system in place to manage the occupational health needs and obligations of staff in relation to infection</w:t>
                  </w:r>
                </w:p>
              </w:tc>
            </w:tr>
          </w:tbl>
          <w:p w14:paraId="65FB4116" w14:textId="77777777" w:rsidR="0058054A" w:rsidRPr="00682191" w:rsidRDefault="0058054A" w:rsidP="00FE37E0">
            <w:pPr>
              <w:rPr>
                <w:rStyle w:val="IntenseEmphasis"/>
                <w:b/>
                <w:i w:val="0"/>
                <w:iCs w:val="0"/>
                <w:sz w:val="22"/>
              </w:rPr>
            </w:pPr>
          </w:p>
          <w:p w14:paraId="72FCCF31" w14:textId="77777777" w:rsidR="0058054A" w:rsidRPr="004A6D29" w:rsidRDefault="0058054A" w:rsidP="00FE37E0">
            <w:pPr>
              <w:spacing w:before="0"/>
              <w:jc w:val="both"/>
              <w:rPr>
                <w:rFonts w:cs="Arial"/>
                <w:bCs/>
                <w:iCs/>
                <w:sz w:val="20"/>
                <w:szCs w:val="18"/>
              </w:rPr>
            </w:pPr>
          </w:p>
          <w:p w14:paraId="67A581B6" w14:textId="77777777" w:rsidR="0058054A" w:rsidRPr="00330E4F" w:rsidRDefault="0058054A" w:rsidP="00FE37E0">
            <w:pPr>
              <w:spacing w:before="0"/>
              <w:jc w:val="both"/>
              <w:rPr>
                <w:rFonts w:cs="Arial"/>
                <w:bCs/>
                <w:i/>
                <w:color w:val="FF0000"/>
                <w:sz w:val="20"/>
                <w:szCs w:val="18"/>
              </w:rPr>
            </w:pPr>
          </w:p>
        </w:tc>
      </w:tr>
      <w:tr w:rsidR="0058054A" w:rsidRPr="00B95CDD" w14:paraId="24244B5F" w14:textId="77777777" w:rsidTr="00FE37E0">
        <w:tc>
          <w:tcPr>
            <w:tcW w:w="9184" w:type="dxa"/>
            <w:gridSpan w:val="2"/>
            <w:tcBorders>
              <w:bottom w:val="single" w:sz="4" w:space="0" w:color="auto"/>
            </w:tcBorders>
            <w:shd w:val="clear" w:color="auto" w:fill="auto"/>
            <w:vAlign w:val="center"/>
          </w:tcPr>
          <w:p w14:paraId="3F150316" w14:textId="77777777" w:rsidR="0058054A" w:rsidRPr="00B95CDD" w:rsidRDefault="0058054A" w:rsidP="00FE37E0">
            <w:pPr>
              <w:pStyle w:val="Table-text"/>
              <w:spacing w:before="0" w:after="0"/>
              <w:rPr>
                <w:rFonts w:cs="Arial"/>
                <w:b/>
                <w:bCs/>
                <w:sz w:val="22"/>
              </w:rPr>
            </w:pPr>
            <w:r w:rsidRPr="00B95CDD">
              <w:rPr>
                <w:rFonts w:cs="Arial"/>
                <w:b/>
                <w:bCs/>
                <w:sz w:val="22"/>
              </w:rPr>
              <w:lastRenderedPageBreak/>
              <w:t>Recommendations</w:t>
            </w:r>
            <w:r>
              <w:rPr>
                <w:rFonts w:cs="Arial"/>
                <w:b/>
                <w:bCs/>
                <w:sz w:val="22"/>
              </w:rPr>
              <w:t>:</w:t>
            </w:r>
          </w:p>
        </w:tc>
      </w:tr>
      <w:tr w:rsidR="0058054A" w:rsidRPr="00C9011E" w14:paraId="79CC9B18" w14:textId="77777777" w:rsidTr="00FE37E0">
        <w:tc>
          <w:tcPr>
            <w:tcW w:w="9184" w:type="dxa"/>
            <w:gridSpan w:val="2"/>
            <w:tcBorders>
              <w:top w:val="single" w:sz="4" w:space="0" w:color="auto"/>
            </w:tcBorders>
            <w:shd w:val="clear" w:color="auto" w:fill="FFFFFF" w:themeFill="background1"/>
            <w:vAlign w:val="center"/>
          </w:tcPr>
          <w:p w14:paraId="1F6C2FF7" w14:textId="18A80563" w:rsidR="0058054A" w:rsidRPr="007E1D8B" w:rsidRDefault="0058054A" w:rsidP="00FE37E0">
            <w:pPr>
              <w:pStyle w:val="Table-text"/>
              <w:spacing w:before="0" w:after="0"/>
              <w:rPr>
                <w:rFonts w:cs="Arial"/>
                <w:iCs/>
                <w:szCs w:val="20"/>
                <w:lang w:val="en-US"/>
              </w:rPr>
            </w:pPr>
            <w:r>
              <w:rPr>
                <w:rFonts w:cs="Arial"/>
                <w:iCs/>
                <w:szCs w:val="20"/>
                <w:lang w:val="en-US"/>
              </w:rPr>
              <w:t xml:space="preserve">The IPCCM members are asked to review </w:t>
            </w:r>
            <w:r w:rsidR="00946366">
              <w:rPr>
                <w:rFonts w:cs="Arial"/>
                <w:iCs/>
                <w:szCs w:val="20"/>
                <w:lang w:val="en-US"/>
              </w:rPr>
              <w:t xml:space="preserve">and approve </w:t>
            </w:r>
            <w:r>
              <w:rPr>
                <w:rFonts w:cs="Arial"/>
                <w:iCs/>
                <w:szCs w:val="20"/>
                <w:lang w:val="en-US"/>
              </w:rPr>
              <w:t>the annual report as an accurate record of the implementation of IPC practices for 2022-2023.</w:t>
            </w:r>
          </w:p>
          <w:p w14:paraId="1478CFE7" w14:textId="77777777" w:rsidR="0058054A" w:rsidRPr="007E1D8B" w:rsidRDefault="0058054A" w:rsidP="00FE37E0">
            <w:pPr>
              <w:pStyle w:val="Table-text"/>
              <w:spacing w:before="0" w:after="0"/>
              <w:rPr>
                <w:rFonts w:cs="Arial"/>
                <w:iCs/>
                <w:szCs w:val="20"/>
                <w:lang w:val="en-US"/>
              </w:rPr>
            </w:pPr>
          </w:p>
        </w:tc>
      </w:tr>
      <w:tr w:rsidR="0058054A" w:rsidRPr="00B95CDD" w14:paraId="3AD9661F" w14:textId="77777777" w:rsidTr="00FE37E0">
        <w:tc>
          <w:tcPr>
            <w:tcW w:w="9184" w:type="dxa"/>
            <w:gridSpan w:val="2"/>
            <w:tcBorders>
              <w:bottom w:val="single" w:sz="4" w:space="0" w:color="auto"/>
            </w:tcBorders>
            <w:shd w:val="clear" w:color="auto" w:fill="auto"/>
            <w:vAlign w:val="center"/>
          </w:tcPr>
          <w:p w14:paraId="3966E12E" w14:textId="77777777" w:rsidR="0058054A" w:rsidRPr="00B95CDD" w:rsidRDefault="0058054A" w:rsidP="00FE37E0">
            <w:pPr>
              <w:pStyle w:val="Table-text"/>
              <w:spacing w:before="0" w:after="0"/>
              <w:rPr>
                <w:rFonts w:cs="Arial"/>
                <w:b/>
                <w:bCs/>
                <w:sz w:val="22"/>
              </w:rPr>
            </w:pPr>
            <w:r w:rsidRPr="00B95CDD">
              <w:rPr>
                <w:rFonts w:cs="Arial"/>
                <w:b/>
                <w:bCs/>
                <w:sz w:val="22"/>
              </w:rPr>
              <w:t>Report development and engagement history</w:t>
            </w:r>
            <w:r>
              <w:rPr>
                <w:rFonts w:cs="Arial"/>
                <w:b/>
                <w:bCs/>
                <w:sz w:val="22"/>
              </w:rPr>
              <w:t>:</w:t>
            </w:r>
          </w:p>
        </w:tc>
      </w:tr>
      <w:tr w:rsidR="0058054A" w:rsidRPr="00C9011E" w14:paraId="2A84FCD8" w14:textId="77777777" w:rsidTr="00FE37E0">
        <w:tc>
          <w:tcPr>
            <w:tcW w:w="9184" w:type="dxa"/>
            <w:gridSpan w:val="2"/>
            <w:tcBorders>
              <w:top w:val="single" w:sz="4" w:space="0" w:color="auto"/>
            </w:tcBorders>
            <w:shd w:val="clear" w:color="auto" w:fill="FFFFFF" w:themeFill="background1"/>
            <w:vAlign w:val="center"/>
          </w:tcPr>
          <w:p w14:paraId="412F86E2" w14:textId="77777777" w:rsidR="0058054A" w:rsidRPr="00D7191D" w:rsidRDefault="0058054A" w:rsidP="00FE37E0">
            <w:pPr>
              <w:pStyle w:val="Table-text"/>
              <w:rPr>
                <w:rFonts w:cs="Arial"/>
                <w:iCs/>
                <w:szCs w:val="20"/>
                <w:lang w:val="en-US"/>
              </w:rPr>
            </w:pPr>
            <w:r w:rsidRPr="00D7191D">
              <w:rPr>
                <w:rFonts w:cs="Arial"/>
                <w:iCs/>
                <w:szCs w:val="20"/>
                <w:lang w:val="en-US"/>
              </w:rPr>
              <w:t>This report is devised annually and offers an overview of quality specific to The Health and Social Care Act</w:t>
            </w:r>
          </w:p>
          <w:p w14:paraId="57565ADA" w14:textId="77777777" w:rsidR="0058054A" w:rsidRDefault="0058054A" w:rsidP="00FE37E0">
            <w:pPr>
              <w:pStyle w:val="Table-text"/>
              <w:rPr>
                <w:rFonts w:cs="Arial"/>
                <w:i/>
                <w:color w:val="FF0000"/>
                <w:szCs w:val="20"/>
                <w:lang w:val="en-US"/>
              </w:rPr>
            </w:pPr>
          </w:p>
          <w:p w14:paraId="26E8335D" w14:textId="77777777" w:rsidR="0058054A" w:rsidRDefault="0058054A" w:rsidP="00FE37E0">
            <w:pPr>
              <w:pStyle w:val="Table-text"/>
              <w:rPr>
                <w:rFonts w:cs="Arial"/>
                <w:i/>
                <w:color w:val="FF0000"/>
                <w:szCs w:val="20"/>
                <w:lang w:val="en-US"/>
              </w:rPr>
            </w:pPr>
          </w:p>
          <w:p w14:paraId="35074C48" w14:textId="77777777" w:rsidR="0058054A" w:rsidRDefault="0058054A" w:rsidP="00FE37E0">
            <w:pPr>
              <w:pStyle w:val="Table-text"/>
              <w:rPr>
                <w:rFonts w:cs="Arial"/>
                <w:iCs/>
                <w:szCs w:val="20"/>
                <w:lang w:val="en-US"/>
              </w:rPr>
            </w:pPr>
          </w:p>
          <w:p w14:paraId="7406234B" w14:textId="77777777" w:rsidR="0058054A" w:rsidRPr="007E1D8B" w:rsidRDefault="0058054A" w:rsidP="00FE37E0">
            <w:pPr>
              <w:pStyle w:val="Table-text"/>
              <w:rPr>
                <w:rFonts w:cs="Arial"/>
                <w:iCs/>
                <w:szCs w:val="20"/>
                <w:lang w:val="en-US"/>
              </w:rPr>
            </w:pPr>
          </w:p>
        </w:tc>
      </w:tr>
    </w:tbl>
    <w:p w14:paraId="1EB9DE56" w14:textId="77777777" w:rsidR="00C41DEF" w:rsidRDefault="0058054A" w:rsidP="00C41DEF">
      <w:pPr>
        <w:jc w:val="center"/>
        <w:rPr>
          <w:b/>
          <w:bCs/>
          <w:sz w:val="28"/>
          <w:szCs w:val="24"/>
        </w:rPr>
      </w:pPr>
      <w:r w:rsidRPr="0058054A">
        <w:rPr>
          <w:b/>
          <w:bCs/>
          <w:sz w:val="28"/>
          <w:szCs w:val="24"/>
        </w:rPr>
        <w:t>Infection Prevention &amp; Control and Cleanliness Report 2022/2</w:t>
      </w:r>
      <w:r w:rsidR="00C41DEF">
        <w:rPr>
          <w:b/>
          <w:bCs/>
          <w:sz w:val="28"/>
          <w:szCs w:val="24"/>
        </w:rPr>
        <w:t xml:space="preserve">3 </w:t>
      </w:r>
    </w:p>
    <w:p w14:paraId="3C701ACA" w14:textId="77777777" w:rsidR="00C41DEF" w:rsidRDefault="00C41DEF" w:rsidP="00C41DEF">
      <w:pPr>
        <w:rPr>
          <w:b/>
          <w:bCs/>
          <w:sz w:val="28"/>
          <w:szCs w:val="24"/>
        </w:rPr>
      </w:pPr>
    </w:p>
    <w:p w14:paraId="32C90801" w14:textId="00E36AB4" w:rsidR="00C41DEF" w:rsidRPr="005876CE" w:rsidRDefault="00C41DEF" w:rsidP="00C41DEF">
      <w:pPr>
        <w:rPr>
          <w:b/>
          <w:bCs/>
          <w:u w:val="single"/>
        </w:rPr>
      </w:pPr>
      <w:r w:rsidRPr="005876CE">
        <w:rPr>
          <w:b/>
          <w:bCs/>
          <w:u w:val="single"/>
        </w:rPr>
        <w:t xml:space="preserve">Forward </w:t>
      </w:r>
    </w:p>
    <w:p w14:paraId="14A05B2B" w14:textId="77777777" w:rsidR="00C41DEF" w:rsidRDefault="00C41DEF" w:rsidP="00C41DEF">
      <w:pPr>
        <w:rPr>
          <w:sz w:val="20"/>
          <w:szCs w:val="18"/>
        </w:rPr>
      </w:pPr>
    </w:p>
    <w:p w14:paraId="675957D2" w14:textId="66D63A77" w:rsidR="00C41DEF" w:rsidRDefault="00C41DEF" w:rsidP="00C41DEF">
      <w:pPr>
        <w:rPr>
          <w:b/>
          <w:bCs/>
        </w:rPr>
      </w:pPr>
      <w:r w:rsidRPr="00C41DEF">
        <w:rPr>
          <w:b/>
          <w:bCs/>
          <w:noProof/>
        </w:rPr>
        <w:drawing>
          <wp:anchor distT="0" distB="0" distL="114300" distR="114300" simplePos="0" relativeHeight="251954176" behindDoc="0" locked="0" layoutInCell="1" allowOverlap="1" wp14:anchorId="0A382F61" wp14:editId="75ED7D68">
            <wp:simplePos x="0" y="0"/>
            <wp:positionH relativeFrom="column">
              <wp:posOffset>0</wp:posOffset>
            </wp:positionH>
            <wp:positionV relativeFrom="paragraph">
              <wp:posOffset>76835</wp:posOffset>
            </wp:positionV>
            <wp:extent cx="1343025" cy="1747929"/>
            <wp:effectExtent l="0" t="0" r="0" b="5080"/>
            <wp:wrapSquare wrapText="bothSides"/>
            <wp:docPr id="4" name="Picture 4" descr="A person with a grey shirt and blue lan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a grey shirt and blue lanyar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3025" cy="1747929"/>
                    </a:xfrm>
                    <a:prstGeom prst="rect">
                      <a:avLst/>
                    </a:prstGeom>
                  </pic:spPr>
                </pic:pic>
              </a:graphicData>
            </a:graphic>
          </wp:anchor>
        </w:drawing>
      </w:r>
      <w:r w:rsidRPr="00C41DEF">
        <w:rPr>
          <w:sz w:val="20"/>
          <w:szCs w:val="18"/>
        </w:rPr>
        <w:t>As the Director of Infection Prevention and Control (DIPC), I am proud to introduce the Trust’s Infection Prevention and Control annual report for the year 2022/23. It describes the achievements of the Trust under the specialist advice, guidance and leadership of our Infection Prevention and Control (IPC) Team led by the Deputy DIPC.</w:t>
      </w:r>
    </w:p>
    <w:p w14:paraId="31821236" w14:textId="77777777" w:rsidR="00C41DEF" w:rsidRPr="00C41DEF" w:rsidRDefault="00C41DEF" w:rsidP="00C41DEF">
      <w:pPr>
        <w:rPr>
          <w:b/>
          <w:bCs/>
        </w:rPr>
      </w:pPr>
    </w:p>
    <w:p w14:paraId="0A27A929" w14:textId="34DB97BF" w:rsidR="00C41DEF" w:rsidRDefault="00C41DEF" w:rsidP="00C41DEF">
      <w:pPr>
        <w:rPr>
          <w:sz w:val="20"/>
          <w:szCs w:val="18"/>
        </w:rPr>
      </w:pPr>
      <w:r w:rsidRPr="00C41DEF">
        <w:rPr>
          <w:sz w:val="20"/>
          <w:szCs w:val="18"/>
        </w:rPr>
        <w:t xml:space="preserve">The report highlights the important changes we have made in managing IPC following the MRSA outbreak and the incredible achievements made by our clinical teams, </w:t>
      </w:r>
      <w:proofErr w:type="gramStart"/>
      <w:r w:rsidRPr="00C41DEF">
        <w:rPr>
          <w:sz w:val="20"/>
          <w:szCs w:val="18"/>
        </w:rPr>
        <w:t>estates</w:t>
      </w:r>
      <w:proofErr w:type="gramEnd"/>
      <w:r w:rsidRPr="00C41DEF">
        <w:rPr>
          <w:sz w:val="20"/>
          <w:szCs w:val="18"/>
        </w:rPr>
        <w:t xml:space="preserve"> and facilities in a short period of time to ensure our Trust met the required standard of IPC set by our Regulators and NHS England. This allowed increased oversight and leadership in managing IPC, which was strengthened by ensuring compliance with the new Health and Social Care Act update, as well as the new IPC Board Assurance</w:t>
      </w:r>
      <w:r>
        <w:rPr>
          <w:sz w:val="20"/>
          <w:szCs w:val="18"/>
        </w:rPr>
        <w:t xml:space="preserve"> </w:t>
      </w:r>
      <w:r w:rsidRPr="00C41DEF">
        <w:rPr>
          <w:sz w:val="20"/>
          <w:szCs w:val="18"/>
        </w:rPr>
        <w:t xml:space="preserve">Framework.  </w:t>
      </w:r>
    </w:p>
    <w:p w14:paraId="5F326879" w14:textId="77777777" w:rsidR="00C41DEF" w:rsidRPr="00C41DEF" w:rsidRDefault="00C41DEF" w:rsidP="00C41DEF">
      <w:pPr>
        <w:rPr>
          <w:rFonts w:ascii="Calibri" w:hAnsi="Calibri" w:cs="Calibri"/>
          <w:sz w:val="20"/>
          <w:szCs w:val="18"/>
        </w:rPr>
      </w:pPr>
    </w:p>
    <w:p w14:paraId="165946C3" w14:textId="0D57A3AB" w:rsidR="00C41DEF" w:rsidRDefault="00C41DEF" w:rsidP="00C41DEF">
      <w:pPr>
        <w:rPr>
          <w:sz w:val="20"/>
          <w:szCs w:val="18"/>
        </w:rPr>
      </w:pPr>
      <w:r w:rsidRPr="00C41DEF">
        <w:rPr>
          <w:sz w:val="20"/>
          <w:szCs w:val="18"/>
        </w:rPr>
        <w:t xml:space="preserve">We have also enhanced our governance of infection prevention and control by stepping up an Infection Prevention and Control Quality Assurance Committee and I am delighted to say that the assurances provided to the Committee meant that this too could be stepped down to business as usual with the IPC Working Group operationally delivering and monitoring all IPC related activity through our IPC Quality Management System. </w:t>
      </w:r>
    </w:p>
    <w:p w14:paraId="1BF33BD1" w14:textId="77777777" w:rsidR="00C41DEF" w:rsidRPr="00C41DEF" w:rsidRDefault="00C41DEF" w:rsidP="00C41DEF">
      <w:pPr>
        <w:rPr>
          <w:sz w:val="20"/>
          <w:szCs w:val="18"/>
        </w:rPr>
      </w:pPr>
    </w:p>
    <w:p w14:paraId="631E7035" w14:textId="762E8A98" w:rsidR="00C41DEF" w:rsidRDefault="00C41DEF" w:rsidP="00C41DEF">
      <w:pPr>
        <w:rPr>
          <w:sz w:val="20"/>
          <w:szCs w:val="18"/>
        </w:rPr>
      </w:pPr>
      <w:r w:rsidRPr="00C41DEF">
        <w:rPr>
          <w:sz w:val="20"/>
          <w:szCs w:val="18"/>
        </w:rPr>
        <w:t xml:space="preserve">Following a series of away days, the IPC Team developed their IPC Strategy which was launched at the first ever IPC summit with our colleagues from Shropshire Community Health Trust. We also joined in a campaign entitled “gloves off” aligned with NHSE’s campaign to reduce inappropriate PPE wearing and to do our bit in reducing unnecessary plastic waste and further campaigns are planned through next year to keep our staff and Teams motivated and educated on emerging evidence and guidance.  </w:t>
      </w:r>
    </w:p>
    <w:p w14:paraId="113FECF7" w14:textId="77777777" w:rsidR="00C41DEF" w:rsidRPr="00C41DEF" w:rsidRDefault="00C41DEF" w:rsidP="00C41DEF">
      <w:pPr>
        <w:rPr>
          <w:sz w:val="20"/>
          <w:szCs w:val="18"/>
        </w:rPr>
      </w:pPr>
    </w:p>
    <w:p w14:paraId="21C37A32" w14:textId="77777777" w:rsidR="00C41DEF" w:rsidRPr="00C41DEF" w:rsidRDefault="00C41DEF" w:rsidP="00C41DEF">
      <w:pPr>
        <w:rPr>
          <w:sz w:val="20"/>
          <w:szCs w:val="18"/>
        </w:rPr>
      </w:pPr>
      <w:r w:rsidRPr="00C41DEF">
        <w:rPr>
          <w:sz w:val="20"/>
          <w:szCs w:val="18"/>
        </w:rPr>
        <w:lastRenderedPageBreak/>
        <w:t xml:space="preserve">We can demonstrate that infection prevention and control is taken very seriously here at the Trust, and we are committed to providing the highest standard of care in a safe and clean environment. </w:t>
      </w:r>
    </w:p>
    <w:p w14:paraId="0126B879" w14:textId="26B0D70A" w:rsidR="00C41DEF" w:rsidRPr="0058054A" w:rsidRDefault="00C41DEF" w:rsidP="0058054A">
      <w:r w:rsidRPr="00C41DEF">
        <w:rPr>
          <w:noProof/>
        </w:rPr>
        <w:drawing>
          <wp:inline distT="0" distB="0" distL="0" distR="0" wp14:anchorId="6936554D" wp14:editId="3C47F4B1">
            <wp:extent cx="1280889" cy="381000"/>
            <wp:effectExtent l="0" t="0" r="0" b="0"/>
            <wp:docPr id="5" name="Picture 5" descr="A close-up of a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note&#10;&#10;Description automatically generated"/>
                    <pic:cNvPicPr/>
                  </pic:nvPicPr>
                  <pic:blipFill>
                    <a:blip r:embed="rId10"/>
                    <a:stretch>
                      <a:fillRect/>
                    </a:stretch>
                  </pic:blipFill>
                  <pic:spPr>
                    <a:xfrm>
                      <a:off x="0" y="0"/>
                      <a:ext cx="1356052" cy="403357"/>
                    </a:xfrm>
                    <a:prstGeom prst="rect">
                      <a:avLst/>
                    </a:prstGeom>
                  </pic:spPr>
                </pic:pic>
              </a:graphicData>
            </a:graphic>
          </wp:inline>
        </w:drawing>
      </w:r>
    </w:p>
    <w:p w14:paraId="1099258D" w14:textId="77777777" w:rsidR="00D508F5" w:rsidRDefault="00D508F5" w:rsidP="007D4F16">
      <w:pPr>
        <w:spacing w:before="0" w:after="200" w:line="276" w:lineRule="auto"/>
        <w:rPr>
          <w:sz w:val="20"/>
          <w:szCs w:val="18"/>
        </w:rPr>
      </w:pPr>
    </w:p>
    <w:p w14:paraId="49096452" w14:textId="4A50960C" w:rsidR="00C41DEF" w:rsidRPr="00D508F5" w:rsidRDefault="00D508F5" w:rsidP="007D4F16">
      <w:pPr>
        <w:spacing w:before="0" w:after="200" w:line="276" w:lineRule="auto"/>
        <w:rPr>
          <w:sz w:val="20"/>
          <w:szCs w:val="18"/>
        </w:rPr>
      </w:pPr>
      <w:r w:rsidRPr="00D508F5">
        <w:rPr>
          <w:sz w:val="20"/>
          <w:szCs w:val="18"/>
        </w:rPr>
        <w:t>Paul Kavanagh-Fields</w:t>
      </w:r>
    </w:p>
    <w:p w14:paraId="29CB1474" w14:textId="04460B36" w:rsidR="00D508F5" w:rsidRPr="00D508F5" w:rsidRDefault="00D508F5" w:rsidP="007D4F16">
      <w:pPr>
        <w:spacing w:before="0" w:after="200" w:line="276" w:lineRule="auto"/>
        <w:rPr>
          <w:b/>
          <w:bCs/>
          <w:sz w:val="20"/>
          <w:szCs w:val="18"/>
        </w:rPr>
      </w:pPr>
      <w:r w:rsidRPr="00D508F5">
        <w:rPr>
          <w:b/>
          <w:bCs/>
          <w:sz w:val="20"/>
          <w:szCs w:val="18"/>
        </w:rPr>
        <w:t>Chief Nurse, Director of Infection Prevention &amp; Control, and Patient Safety Office</w:t>
      </w:r>
      <w:r>
        <w:rPr>
          <w:b/>
          <w:bCs/>
          <w:sz w:val="20"/>
          <w:szCs w:val="18"/>
        </w:rPr>
        <w:t>r</w:t>
      </w:r>
    </w:p>
    <w:p w14:paraId="1F38A592" w14:textId="77777777" w:rsidR="00C41DEF" w:rsidRDefault="00C41DEF" w:rsidP="007D4F16">
      <w:pPr>
        <w:spacing w:before="0" w:after="200" w:line="276" w:lineRule="auto"/>
        <w:rPr>
          <w:b/>
          <w:bCs/>
          <w:sz w:val="22"/>
          <w:szCs w:val="20"/>
          <w:u w:val="single"/>
        </w:rPr>
      </w:pPr>
    </w:p>
    <w:p w14:paraId="7203D11B" w14:textId="5F54889A" w:rsidR="00627160" w:rsidRPr="00E2670D" w:rsidRDefault="00976CF7" w:rsidP="007D4F16">
      <w:pPr>
        <w:spacing w:before="0" w:after="200" w:line="276" w:lineRule="auto"/>
        <w:rPr>
          <w:b/>
          <w:bCs/>
          <w:sz w:val="22"/>
          <w:szCs w:val="20"/>
        </w:rPr>
      </w:pPr>
      <w:r w:rsidRPr="00E2670D">
        <w:rPr>
          <w:b/>
          <w:bCs/>
          <w:sz w:val="22"/>
          <w:szCs w:val="20"/>
        </w:rPr>
        <w:t>Glossary of term</w:t>
      </w:r>
      <w:r w:rsidR="00284DE7" w:rsidRPr="00E2670D">
        <w:rPr>
          <w:b/>
          <w:bCs/>
          <w:sz w:val="22"/>
          <w:szCs w:val="20"/>
        </w:rPr>
        <w:t>s</w:t>
      </w:r>
    </w:p>
    <w:tbl>
      <w:tblPr>
        <w:tblStyle w:val="TableGrid"/>
        <w:tblW w:w="0" w:type="auto"/>
        <w:tblLook w:val="04A0" w:firstRow="1" w:lastRow="0" w:firstColumn="1" w:lastColumn="0" w:noHBand="0" w:noVBand="1"/>
      </w:tblPr>
      <w:tblGrid>
        <w:gridCol w:w="1792"/>
        <w:gridCol w:w="7224"/>
      </w:tblGrid>
      <w:tr w:rsidR="00E2670D" w:rsidRPr="00875C82" w14:paraId="1546A320" w14:textId="77777777" w:rsidTr="007C6DED">
        <w:tc>
          <w:tcPr>
            <w:tcW w:w="1809" w:type="dxa"/>
          </w:tcPr>
          <w:p w14:paraId="1CFEC4FC" w14:textId="77777777" w:rsidR="00E2670D" w:rsidRPr="00875C82" w:rsidRDefault="00E2670D" w:rsidP="007C6DED">
            <w:pPr>
              <w:rPr>
                <w:sz w:val="20"/>
              </w:rPr>
            </w:pPr>
            <w:r w:rsidRPr="00875C82">
              <w:rPr>
                <w:sz w:val="20"/>
              </w:rPr>
              <w:t>Bacteraemia</w:t>
            </w:r>
          </w:p>
        </w:tc>
        <w:tc>
          <w:tcPr>
            <w:tcW w:w="7433" w:type="dxa"/>
          </w:tcPr>
          <w:p w14:paraId="74D7C8FE" w14:textId="77777777" w:rsidR="00E2670D" w:rsidRPr="00875C82" w:rsidRDefault="00E2670D" w:rsidP="007C6DED">
            <w:pPr>
              <w:rPr>
                <w:sz w:val="20"/>
              </w:rPr>
            </w:pPr>
            <w:r w:rsidRPr="00875C82">
              <w:rPr>
                <w:sz w:val="20"/>
              </w:rPr>
              <w:t>The presence of bacteria in the blood without clinical signs or symptoms of infection</w:t>
            </w:r>
          </w:p>
        </w:tc>
      </w:tr>
      <w:tr w:rsidR="00E2670D" w:rsidRPr="00875C82" w14:paraId="75D3AFF9" w14:textId="77777777" w:rsidTr="007C6DED">
        <w:tc>
          <w:tcPr>
            <w:tcW w:w="1809" w:type="dxa"/>
          </w:tcPr>
          <w:p w14:paraId="51ECB700" w14:textId="45E0A63C" w:rsidR="00E2670D" w:rsidRPr="00875C82" w:rsidRDefault="00E2670D" w:rsidP="007C6DED">
            <w:pPr>
              <w:rPr>
                <w:sz w:val="20"/>
              </w:rPr>
            </w:pPr>
            <w:r w:rsidRPr="00875C82">
              <w:rPr>
                <w:sz w:val="20"/>
              </w:rPr>
              <w:t>CDI</w:t>
            </w:r>
          </w:p>
        </w:tc>
        <w:tc>
          <w:tcPr>
            <w:tcW w:w="7433" w:type="dxa"/>
          </w:tcPr>
          <w:p w14:paraId="01355392" w14:textId="387F0C19" w:rsidR="00E2670D" w:rsidRPr="00875C82" w:rsidRDefault="00E2670D" w:rsidP="007C6DED">
            <w:pPr>
              <w:rPr>
                <w:sz w:val="20"/>
              </w:rPr>
            </w:pPr>
            <w:proofErr w:type="spellStart"/>
            <w:r w:rsidRPr="00875C82">
              <w:rPr>
                <w:sz w:val="20"/>
              </w:rPr>
              <w:t>Clostridiodes</w:t>
            </w:r>
            <w:proofErr w:type="spellEnd"/>
            <w:r w:rsidRPr="00875C82">
              <w:rPr>
                <w:sz w:val="20"/>
              </w:rPr>
              <w:t xml:space="preserve"> difficile infection.  It is a bacterium found in the intestines of around 1 in 30 adults, and usually causes no harm.  It can produce toxins which cause infection and can be difficult to treat.  </w:t>
            </w:r>
          </w:p>
        </w:tc>
      </w:tr>
      <w:tr w:rsidR="00E2670D" w:rsidRPr="00875C82" w14:paraId="516D7209" w14:textId="77777777" w:rsidTr="007C6DED">
        <w:tc>
          <w:tcPr>
            <w:tcW w:w="1809" w:type="dxa"/>
          </w:tcPr>
          <w:p w14:paraId="5512DC8B" w14:textId="77777777" w:rsidR="00E2670D" w:rsidRPr="00875C82" w:rsidRDefault="00E2670D" w:rsidP="007C6DED">
            <w:pPr>
              <w:rPr>
                <w:sz w:val="20"/>
              </w:rPr>
            </w:pPr>
            <w:r w:rsidRPr="00875C82">
              <w:rPr>
                <w:sz w:val="20"/>
              </w:rPr>
              <w:t>E coli</w:t>
            </w:r>
          </w:p>
        </w:tc>
        <w:tc>
          <w:tcPr>
            <w:tcW w:w="7433" w:type="dxa"/>
          </w:tcPr>
          <w:p w14:paraId="4FA393E4" w14:textId="28948D8A" w:rsidR="00E2670D" w:rsidRPr="00875C82" w:rsidRDefault="00E2670D" w:rsidP="007C6DED">
            <w:pPr>
              <w:rPr>
                <w:sz w:val="20"/>
              </w:rPr>
            </w:pPr>
            <w:r w:rsidRPr="00875C82">
              <w:rPr>
                <w:sz w:val="20"/>
              </w:rPr>
              <w:t xml:space="preserve">Escherichia Coli is a bacterium found in the intestines.  It can cause </w:t>
            </w:r>
            <w:proofErr w:type="spellStart"/>
            <w:r w:rsidRPr="00875C82">
              <w:rPr>
                <w:sz w:val="20"/>
              </w:rPr>
              <w:t>infecitons</w:t>
            </w:r>
            <w:proofErr w:type="spellEnd"/>
            <w:r w:rsidRPr="00875C82">
              <w:rPr>
                <w:sz w:val="20"/>
              </w:rPr>
              <w:t xml:space="preserve"> and can prove difficult to treat.</w:t>
            </w:r>
          </w:p>
        </w:tc>
      </w:tr>
      <w:tr w:rsidR="00E2670D" w:rsidRPr="00875C82" w14:paraId="43B58F53" w14:textId="77777777" w:rsidTr="007C6DED">
        <w:tc>
          <w:tcPr>
            <w:tcW w:w="1809" w:type="dxa"/>
          </w:tcPr>
          <w:p w14:paraId="6EBCA5CC" w14:textId="7CFFDC44" w:rsidR="00E2670D" w:rsidRPr="00875C82" w:rsidRDefault="00E2670D" w:rsidP="007C6DED">
            <w:pPr>
              <w:rPr>
                <w:sz w:val="20"/>
              </w:rPr>
            </w:pPr>
            <w:r w:rsidRPr="00875C82">
              <w:rPr>
                <w:sz w:val="20"/>
              </w:rPr>
              <w:t>HAI</w:t>
            </w:r>
          </w:p>
        </w:tc>
        <w:tc>
          <w:tcPr>
            <w:tcW w:w="7433" w:type="dxa"/>
          </w:tcPr>
          <w:p w14:paraId="56317DD7" w14:textId="2453C795" w:rsidR="00E2670D" w:rsidRPr="00875C82" w:rsidRDefault="00E2670D" w:rsidP="007C6DED">
            <w:pPr>
              <w:rPr>
                <w:sz w:val="20"/>
              </w:rPr>
            </w:pPr>
            <w:r w:rsidRPr="00875C82">
              <w:rPr>
                <w:sz w:val="20"/>
              </w:rPr>
              <w:t>Healthcare Associated Infection.  An infection acquired after receiving treatment in a health care setting.</w:t>
            </w:r>
          </w:p>
        </w:tc>
      </w:tr>
      <w:tr w:rsidR="00E2670D" w:rsidRPr="00875C82" w14:paraId="1F50E97B" w14:textId="77777777" w:rsidTr="007C6DED">
        <w:tc>
          <w:tcPr>
            <w:tcW w:w="1809" w:type="dxa"/>
          </w:tcPr>
          <w:p w14:paraId="27484469" w14:textId="77777777" w:rsidR="00E2670D" w:rsidRPr="00875C82" w:rsidRDefault="00E2670D" w:rsidP="007C6DED">
            <w:pPr>
              <w:rPr>
                <w:sz w:val="20"/>
              </w:rPr>
            </w:pPr>
            <w:r w:rsidRPr="00875C82">
              <w:rPr>
                <w:sz w:val="20"/>
              </w:rPr>
              <w:t>MRSA</w:t>
            </w:r>
          </w:p>
        </w:tc>
        <w:tc>
          <w:tcPr>
            <w:tcW w:w="7433" w:type="dxa"/>
          </w:tcPr>
          <w:p w14:paraId="1A754125" w14:textId="678E80D1" w:rsidR="00E2670D" w:rsidRPr="00875C82" w:rsidRDefault="00E2670D" w:rsidP="007C6DED">
            <w:pPr>
              <w:rPr>
                <w:sz w:val="20"/>
              </w:rPr>
            </w:pPr>
            <w:r w:rsidRPr="00875C82">
              <w:rPr>
                <w:sz w:val="20"/>
              </w:rPr>
              <w:t xml:space="preserve">Methicillin Resistant </w:t>
            </w:r>
            <w:proofErr w:type="spellStart"/>
            <w:r w:rsidRPr="00875C82">
              <w:rPr>
                <w:sz w:val="20"/>
              </w:rPr>
              <w:t>Stapholococcus</w:t>
            </w:r>
            <w:proofErr w:type="spellEnd"/>
            <w:r w:rsidRPr="00875C82">
              <w:rPr>
                <w:sz w:val="20"/>
              </w:rPr>
              <w:t xml:space="preserve"> Aureus, is a highly resistant strain of the common bacteria </w:t>
            </w:r>
          </w:p>
        </w:tc>
      </w:tr>
      <w:tr w:rsidR="00E2670D" w:rsidRPr="00875C82" w14:paraId="3A36D40B" w14:textId="77777777" w:rsidTr="007C6DED">
        <w:tc>
          <w:tcPr>
            <w:tcW w:w="1809" w:type="dxa"/>
          </w:tcPr>
          <w:p w14:paraId="7E19E0A2" w14:textId="77777777" w:rsidR="00E2670D" w:rsidRPr="00875C82" w:rsidRDefault="00E2670D" w:rsidP="007C6DED">
            <w:pPr>
              <w:rPr>
                <w:sz w:val="20"/>
              </w:rPr>
            </w:pPr>
            <w:r w:rsidRPr="00875C82">
              <w:rPr>
                <w:sz w:val="20"/>
              </w:rPr>
              <w:t>MSSA</w:t>
            </w:r>
          </w:p>
        </w:tc>
        <w:tc>
          <w:tcPr>
            <w:tcW w:w="7433" w:type="dxa"/>
          </w:tcPr>
          <w:p w14:paraId="41CB9599" w14:textId="4BC07D11" w:rsidR="00E2670D" w:rsidRPr="00875C82" w:rsidRDefault="00E2670D" w:rsidP="007C6DED">
            <w:pPr>
              <w:rPr>
                <w:sz w:val="20"/>
              </w:rPr>
            </w:pPr>
            <w:r w:rsidRPr="00875C82">
              <w:rPr>
                <w:sz w:val="20"/>
              </w:rPr>
              <w:t xml:space="preserve">Methicillin Sensitive </w:t>
            </w:r>
            <w:proofErr w:type="spellStart"/>
            <w:r w:rsidRPr="00875C82">
              <w:rPr>
                <w:sz w:val="20"/>
              </w:rPr>
              <w:t>Stapholococcus</w:t>
            </w:r>
            <w:proofErr w:type="spellEnd"/>
            <w:r w:rsidRPr="00875C82">
              <w:rPr>
                <w:sz w:val="20"/>
              </w:rPr>
              <w:t xml:space="preserve"> Aureus, is the more common sensitive strain of </w:t>
            </w:r>
            <w:proofErr w:type="spellStart"/>
            <w:r w:rsidRPr="00875C82">
              <w:rPr>
                <w:sz w:val="20"/>
              </w:rPr>
              <w:t>Stapholococcus</w:t>
            </w:r>
            <w:proofErr w:type="spellEnd"/>
            <w:r w:rsidRPr="00875C82">
              <w:rPr>
                <w:sz w:val="20"/>
              </w:rPr>
              <w:t xml:space="preserve"> Aureus. </w:t>
            </w:r>
          </w:p>
        </w:tc>
      </w:tr>
    </w:tbl>
    <w:p w14:paraId="72406E83" w14:textId="77777777" w:rsidR="00875C82" w:rsidRDefault="00875C82" w:rsidP="007D4F16">
      <w:pPr>
        <w:spacing w:before="0" w:after="200" w:line="276" w:lineRule="auto"/>
        <w:rPr>
          <w:b/>
          <w:bCs/>
          <w:sz w:val="20"/>
          <w:szCs w:val="20"/>
        </w:rPr>
      </w:pPr>
    </w:p>
    <w:p w14:paraId="4C47DE89" w14:textId="6204EE8C" w:rsidR="00E2670D" w:rsidRPr="00875C82" w:rsidRDefault="00E2670D" w:rsidP="007D4F16">
      <w:pPr>
        <w:spacing w:before="0" w:after="200" w:line="276" w:lineRule="auto"/>
        <w:rPr>
          <w:b/>
          <w:bCs/>
          <w:sz w:val="20"/>
          <w:szCs w:val="20"/>
        </w:rPr>
      </w:pPr>
      <w:r w:rsidRPr="00875C82">
        <w:rPr>
          <w:b/>
          <w:bCs/>
          <w:sz w:val="20"/>
          <w:szCs w:val="20"/>
        </w:rPr>
        <w:t>Acronyms</w:t>
      </w:r>
    </w:p>
    <w:tbl>
      <w:tblPr>
        <w:tblStyle w:val="TableGrid"/>
        <w:tblW w:w="0" w:type="auto"/>
        <w:tblLook w:val="04A0" w:firstRow="1" w:lastRow="0" w:firstColumn="1" w:lastColumn="0" w:noHBand="0" w:noVBand="1"/>
      </w:tblPr>
      <w:tblGrid>
        <w:gridCol w:w="1778"/>
        <w:gridCol w:w="7238"/>
      </w:tblGrid>
      <w:tr w:rsidR="00E2670D" w:rsidRPr="00875C82" w14:paraId="4D118F00" w14:textId="77777777" w:rsidTr="00E2670D">
        <w:tc>
          <w:tcPr>
            <w:tcW w:w="1778" w:type="dxa"/>
          </w:tcPr>
          <w:p w14:paraId="75BEB78D" w14:textId="77777777" w:rsidR="00E2670D" w:rsidRPr="00875C82" w:rsidRDefault="00E2670D" w:rsidP="007C6DED">
            <w:pPr>
              <w:rPr>
                <w:sz w:val="20"/>
              </w:rPr>
            </w:pPr>
            <w:r w:rsidRPr="00875C82">
              <w:rPr>
                <w:sz w:val="20"/>
              </w:rPr>
              <w:t>AE (D)</w:t>
            </w:r>
          </w:p>
        </w:tc>
        <w:tc>
          <w:tcPr>
            <w:tcW w:w="7238" w:type="dxa"/>
          </w:tcPr>
          <w:p w14:paraId="30948726" w14:textId="77777777" w:rsidR="00E2670D" w:rsidRPr="00875C82" w:rsidRDefault="00E2670D" w:rsidP="007C6DED">
            <w:pPr>
              <w:rPr>
                <w:sz w:val="20"/>
              </w:rPr>
            </w:pPr>
            <w:r w:rsidRPr="00875C82">
              <w:rPr>
                <w:sz w:val="20"/>
              </w:rPr>
              <w:t>Authorised Engineer (D)</w:t>
            </w:r>
          </w:p>
        </w:tc>
      </w:tr>
      <w:tr w:rsidR="00E2670D" w:rsidRPr="00875C82" w14:paraId="2ACD2024" w14:textId="77777777" w:rsidTr="00E2670D">
        <w:tc>
          <w:tcPr>
            <w:tcW w:w="1778" w:type="dxa"/>
          </w:tcPr>
          <w:p w14:paraId="35A7D6CE" w14:textId="77777777" w:rsidR="00E2670D" w:rsidRPr="00875C82" w:rsidRDefault="00E2670D" w:rsidP="007C6DED">
            <w:pPr>
              <w:rPr>
                <w:sz w:val="20"/>
              </w:rPr>
            </w:pPr>
            <w:r w:rsidRPr="00875C82">
              <w:rPr>
                <w:sz w:val="20"/>
              </w:rPr>
              <w:t>AMS</w:t>
            </w:r>
          </w:p>
        </w:tc>
        <w:tc>
          <w:tcPr>
            <w:tcW w:w="7238" w:type="dxa"/>
          </w:tcPr>
          <w:p w14:paraId="02E87495" w14:textId="77777777" w:rsidR="00E2670D" w:rsidRPr="00875C82" w:rsidRDefault="00E2670D" w:rsidP="007C6DED">
            <w:pPr>
              <w:rPr>
                <w:sz w:val="20"/>
              </w:rPr>
            </w:pPr>
            <w:r w:rsidRPr="00875C82">
              <w:rPr>
                <w:sz w:val="20"/>
              </w:rPr>
              <w:t>Antimicrobial Stewardship Committee</w:t>
            </w:r>
          </w:p>
        </w:tc>
      </w:tr>
      <w:tr w:rsidR="00E2670D" w:rsidRPr="00875C82" w14:paraId="35D7B6E7" w14:textId="77777777" w:rsidTr="00E2670D">
        <w:tc>
          <w:tcPr>
            <w:tcW w:w="1778" w:type="dxa"/>
          </w:tcPr>
          <w:p w14:paraId="1A56DEC6" w14:textId="77777777" w:rsidR="00E2670D" w:rsidRPr="00875C82" w:rsidRDefault="00E2670D" w:rsidP="007C6DED">
            <w:pPr>
              <w:rPr>
                <w:sz w:val="20"/>
              </w:rPr>
            </w:pPr>
            <w:r w:rsidRPr="00875C82">
              <w:rPr>
                <w:sz w:val="20"/>
              </w:rPr>
              <w:t>ANTT</w:t>
            </w:r>
          </w:p>
        </w:tc>
        <w:tc>
          <w:tcPr>
            <w:tcW w:w="7238" w:type="dxa"/>
          </w:tcPr>
          <w:p w14:paraId="11AD064F" w14:textId="77777777" w:rsidR="00E2670D" w:rsidRPr="00875C82" w:rsidRDefault="00E2670D" w:rsidP="007C6DED">
            <w:pPr>
              <w:rPr>
                <w:sz w:val="20"/>
              </w:rPr>
            </w:pPr>
            <w:r w:rsidRPr="00875C82">
              <w:rPr>
                <w:sz w:val="20"/>
              </w:rPr>
              <w:t xml:space="preserve">Aseptic </w:t>
            </w:r>
            <w:proofErr w:type="gramStart"/>
            <w:r w:rsidRPr="00875C82">
              <w:rPr>
                <w:sz w:val="20"/>
              </w:rPr>
              <w:t>Non Touch</w:t>
            </w:r>
            <w:proofErr w:type="gramEnd"/>
            <w:r w:rsidRPr="00875C82">
              <w:rPr>
                <w:sz w:val="20"/>
              </w:rPr>
              <w:t xml:space="preserve"> Technique</w:t>
            </w:r>
          </w:p>
        </w:tc>
      </w:tr>
      <w:tr w:rsidR="00E2670D" w:rsidRPr="00875C82" w14:paraId="1C4CA909" w14:textId="77777777" w:rsidTr="00E2670D">
        <w:tc>
          <w:tcPr>
            <w:tcW w:w="1778" w:type="dxa"/>
          </w:tcPr>
          <w:p w14:paraId="2F908A38" w14:textId="77777777" w:rsidR="00E2670D" w:rsidRPr="00875C82" w:rsidRDefault="00E2670D" w:rsidP="007C6DED">
            <w:pPr>
              <w:rPr>
                <w:sz w:val="20"/>
              </w:rPr>
            </w:pPr>
            <w:r w:rsidRPr="00875C82">
              <w:rPr>
                <w:sz w:val="20"/>
              </w:rPr>
              <w:t>CAUTI</w:t>
            </w:r>
          </w:p>
        </w:tc>
        <w:tc>
          <w:tcPr>
            <w:tcW w:w="7238" w:type="dxa"/>
          </w:tcPr>
          <w:p w14:paraId="57135910" w14:textId="77777777" w:rsidR="00E2670D" w:rsidRPr="00875C82" w:rsidRDefault="00E2670D" w:rsidP="007C6DED">
            <w:pPr>
              <w:rPr>
                <w:sz w:val="20"/>
              </w:rPr>
            </w:pPr>
            <w:r w:rsidRPr="00875C82">
              <w:rPr>
                <w:sz w:val="20"/>
              </w:rPr>
              <w:t>Catheter-Associated Urinary Tract Infection</w:t>
            </w:r>
          </w:p>
        </w:tc>
      </w:tr>
      <w:tr w:rsidR="00E2670D" w:rsidRPr="00875C82" w14:paraId="20BC5388" w14:textId="77777777" w:rsidTr="00E2670D">
        <w:tc>
          <w:tcPr>
            <w:tcW w:w="1778" w:type="dxa"/>
          </w:tcPr>
          <w:p w14:paraId="213FA331" w14:textId="77777777" w:rsidR="00E2670D" w:rsidRPr="00875C82" w:rsidRDefault="00E2670D" w:rsidP="007C6DED">
            <w:pPr>
              <w:rPr>
                <w:sz w:val="20"/>
              </w:rPr>
            </w:pPr>
            <w:r w:rsidRPr="00875C82">
              <w:rPr>
                <w:sz w:val="20"/>
              </w:rPr>
              <w:t>CQC</w:t>
            </w:r>
          </w:p>
        </w:tc>
        <w:tc>
          <w:tcPr>
            <w:tcW w:w="7238" w:type="dxa"/>
          </w:tcPr>
          <w:p w14:paraId="21645277" w14:textId="77777777" w:rsidR="00E2670D" w:rsidRPr="00875C82" w:rsidRDefault="00E2670D" w:rsidP="007C6DED">
            <w:pPr>
              <w:rPr>
                <w:sz w:val="20"/>
              </w:rPr>
            </w:pPr>
            <w:r w:rsidRPr="00875C82">
              <w:rPr>
                <w:sz w:val="20"/>
              </w:rPr>
              <w:t>Care Quality Commission</w:t>
            </w:r>
          </w:p>
        </w:tc>
      </w:tr>
      <w:tr w:rsidR="00E2670D" w:rsidRPr="00875C82" w14:paraId="65EEB35D" w14:textId="77777777" w:rsidTr="00E2670D">
        <w:tc>
          <w:tcPr>
            <w:tcW w:w="1778" w:type="dxa"/>
          </w:tcPr>
          <w:p w14:paraId="73DD5A00" w14:textId="77777777" w:rsidR="00E2670D" w:rsidRPr="00875C82" w:rsidRDefault="00E2670D" w:rsidP="007C6DED">
            <w:pPr>
              <w:rPr>
                <w:sz w:val="20"/>
              </w:rPr>
            </w:pPr>
            <w:r w:rsidRPr="00875C82">
              <w:rPr>
                <w:sz w:val="20"/>
              </w:rPr>
              <w:t>DIPC</w:t>
            </w:r>
          </w:p>
        </w:tc>
        <w:tc>
          <w:tcPr>
            <w:tcW w:w="7238" w:type="dxa"/>
          </w:tcPr>
          <w:p w14:paraId="0DD2AACA" w14:textId="77777777" w:rsidR="00E2670D" w:rsidRPr="00875C82" w:rsidRDefault="00E2670D" w:rsidP="007C6DED">
            <w:pPr>
              <w:rPr>
                <w:sz w:val="20"/>
              </w:rPr>
            </w:pPr>
            <w:r w:rsidRPr="00875C82">
              <w:rPr>
                <w:sz w:val="20"/>
              </w:rPr>
              <w:t>Director of Infection Prevention &amp; Control</w:t>
            </w:r>
          </w:p>
        </w:tc>
      </w:tr>
      <w:tr w:rsidR="00E2670D" w:rsidRPr="00875C82" w14:paraId="5F576D9E" w14:textId="77777777" w:rsidTr="00E2670D">
        <w:tc>
          <w:tcPr>
            <w:tcW w:w="1778" w:type="dxa"/>
          </w:tcPr>
          <w:p w14:paraId="1163E888" w14:textId="77777777" w:rsidR="00E2670D" w:rsidRPr="00875C82" w:rsidRDefault="00E2670D" w:rsidP="007C6DED">
            <w:pPr>
              <w:rPr>
                <w:sz w:val="20"/>
              </w:rPr>
            </w:pPr>
            <w:proofErr w:type="spellStart"/>
            <w:proofErr w:type="gramStart"/>
            <w:r w:rsidRPr="00875C82">
              <w:rPr>
                <w:sz w:val="20"/>
              </w:rPr>
              <w:t>E.Coli</w:t>
            </w:r>
            <w:proofErr w:type="spellEnd"/>
            <w:proofErr w:type="gramEnd"/>
          </w:p>
        </w:tc>
        <w:tc>
          <w:tcPr>
            <w:tcW w:w="7238" w:type="dxa"/>
          </w:tcPr>
          <w:p w14:paraId="40DC528B" w14:textId="77777777" w:rsidR="00E2670D" w:rsidRPr="00875C82" w:rsidRDefault="00E2670D" w:rsidP="007C6DED">
            <w:pPr>
              <w:rPr>
                <w:sz w:val="20"/>
              </w:rPr>
            </w:pPr>
            <w:r w:rsidRPr="00875C82">
              <w:rPr>
                <w:sz w:val="20"/>
              </w:rPr>
              <w:t>Escherichia coli</w:t>
            </w:r>
          </w:p>
        </w:tc>
      </w:tr>
      <w:tr w:rsidR="00E2670D" w:rsidRPr="00875C82" w14:paraId="35B1EEAF" w14:textId="77777777" w:rsidTr="00E2670D">
        <w:tc>
          <w:tcPr>
            <w:tcW w:w="1778" w:type="dxa"/>
          </w:tcPr>
          <w:p w14:paraId="2D7DFE75" w14:textId="447AE9FD" w:rsidR="00E2670D" w:rsidRPr="00875C82" w:rsidRDefault="00E2670D" w:rsidP="007C6DED">
            <w:pPr>
              <w:rPr>
                <w:sz w:val="20"/>
              </w:rPr>
            </w:pPr>
            <w:r w:rsidRPr="00875C82">
              <w:rPr>
                <w:sz w:val="20"/>
              </w:rPr>
              <w:t>HAI</w:t>
            </w:r>
          </w:p>
        </w:tc>
        <w:tc>
          <w:tcPr>
            <w:tcW w:w="7238" w:type="dxa"/>
          </w:tcPr>
          <w:p w14:paraId="5597A56B" w14:textId="77777777" w:rsidR="00E2670D" w:rsidRPr="00875C82" w:rsidRDefault="00E2670D" w:rsidP="007C6DED">
            <w:pPr>
              <w:rPr>
                <w:sz w:val="20"/>
              </w:rPr>
            </w:pPr>
            <w:r w:rsidRPr="00875C82">
              <w:rPr>
                <w:sz w:val="20"/>
              </w:rPr>
              <w:t>Healthcare Associated Infection</w:t>
            </w:r>
          </w:p>
        </w:tc>
      </w:tr>
      <w:tr w:rsidR="00E2670D" w:rsidRPr="00875C82" w14:paraId="7A5F5726" w14:textId="77777777" w:rsidTr="00E2670D">
        <w:tc>
          <w:tcPr>
            <w:tcW w:w="1778" w:type="dxa"/>
          </w:tcPr>
          <w:p w14:paraId="061E903C" w14:textId="77777777" w:rsidR="00E2670D" w:rsidRPr="00875C82" w:rsidRDefault="00E2670D" w:rsidP="007C6DED">
            <w:pPr>
              <w:rPr>
                <w:sz w:val="20"/>
              </w:rPr>
            </w:pPr>
            <w:r w:rsidRPr="00875C82">
              <w:rPr>
                <w:sz w:val="20"/>
              </w:rPr>
              <w:t>HPV</w:t>
            </w:r>
          </w:p>
        </w:tc>
        <w:tc>
          <w:tcPr>
            <w:tcW w:w="7238" w:type="dxa"/>
          </w:tcPr>
          <w:p w14:paraId="5D900D69" w14:textId="77777777" w:rsidR="00E2670D" w:rsidRPr="00875C82" w:rsidRDefault="00E2670D" w:rsidP="007C6DED">
            <w:pPr>
              <w:rPr>
                <w:sz w:val="20"/>
              </w:rPr>
            </w:pPr>
            <w:r w:rsidRPr="00875C82">
              <w:rPr>
                <w:sz w:val="20"/>
              </w:rPr>
              <w:t>Hydrogen Peroxide Vapour</w:t>
            </w:r>
          </w:p>
        </w:tc>
      </w:tr>
      <w:tr w:rsidR="00E2670D" w:rsidRPr="00875C82" w14:paraId="00F3AC80" w14:textId="77777777" w:rsidTr="00E2670D">
        <w:tc>
          <w:tcPr>
            <w:tcW w:w="1778" w:type="dxa"/>
          </w:tcPr>
          <w:p w14:paraId="369F3D20" w14:textId="77777777" w:rsidR="00E2670D" w:rsidRPr="00875C82" w:rsidRDefault="00E2670D" w:rsidP="007C6DED">
            <w:pPr>
              <w:rPr>
                <w:sz w:val="20"/>
              </w:rPr>
            </w:pPr>
            <w:r w:rsidRPr="00875C82">
              <w:rPr>
                <w:sz w:val="20"/>
              </w:rPr>
              <w:t>HTM</w:t>
            </w:r>
          </w:p>
        </w:tc>
        <w:tc>
          <w:tcPr>
            <w:tcW w:w="7238" w:type="dxa"/>
          </w:tcPr>
          <w:p w14:paraId="15F8B2E5" w14:textId="77777777" w:rsidR="00E2670D" w:rsidRPr="00875C82" w:rsidRDefault="00E2670D" w:rsidP="007C6DED">
            <w:pPr>
              <w:rPr>
                <w:sz w:val="20"/>
              </w:rPr>
            </w:pPr>
            <w:r w:rsidRPr="00875C82">
              <w:rPr>
                <w:sz w:val="20"/>
              </w:rPr>
              <w:t>Health Technical Memorandum</w:t>
            </w:r>
          </w:p>
        </w:tc>
      </w:tr>
      <w:tr w:rsidR="00E2670D" w:rsidRPr="00875C82" w14:paraId="56B1328F" w14:textId="77777777" w:rsidTr="00E2670D">
        <w:tc>
          <w:tcPr>
            <w:tcW w:w="1778" w:type="dxa"/>
          </w:tcPr>
          <w:p w14:paraId="1F2D4B8C" w14:textId="77777777" w:rsidR="00E2670D" w:rsidRPr="00875C82" w:rsidRDefault="00E2670D" w:rsidP="007C6DED">
            <w:pPr>
              <w:rPr>
                <w:sz w:val="20"/>
              </w:rPr>
            </w:pPr>
            <w:r w:rsidRPr="00875C82">
              <w:rPr>
                <w:sz w:val="20"/>
              </w:rPr>
              <w:t>IPC</w:t>
            </w:r>
          </w:p>
        </w:tc>
        <w:tc>
          <w:tcPr>
            <w:tcW w:w="7238" w:type="dxa"/>
          </w:tcPr>
          <w:p w14:paraId="27B7F14F" w14:textId="77777777" w:rsidR="00E2670D" w:rsidRPr="00875C82" w:rsidRDefault="00E2670D" w:rsidP="007C6DED">
            <w:pPr>
              <w:rPr>
                <w:sz w:val="20"/>
              </w:rPr>
            </w:pPr>
            <w:r w:rsidRPr="00875C82">
              <w:rPr>
                <w:sz w:val="20"/>
              </w:rPr>
              <w:t>Infection Prevention &amp; Control</w:t>
            </w:r>
          </w:p>
        </w:tc>
      </w:tr>
      <w:tr w:rsidR="00E2670D" w:rsidRPr="00875C82" w14:paraId="0D47E9A9" w14:textId="77777777" w:rsidTr="00E2670D">
        <w:tc>
          <w:tcPr>
            <w:tcW w:w="1778" w:type="dxa"/>
          </w:tcPr>
          <w:p w14:paraId="66ED8BC0" w14:textId="77777777" w:rsidR="00E2670D" w:rsidRPr="00875C82" w:rsidRDefault="00E2670D" w:rsidP="007C6DED">
            <w:pPr>
              <w:rPr>
                <w:sz w:val="20"/>
              </w:rPr>
            </w:pPr>
            <w:r w:rsidRPr="00875C82">
              <w:rPr>
                <w:sz w:val="20"/>
              </w:rPr>
              <w:t>IPCC</w:t>
            </w:r>
          </w:p>
        </w:tc>
        <w:tc>
          <w:tcPr>
            <w:tcW w:w="7238" w:type="dxa"/>
          </w:tcPr>
          <w:p w14:paraId="42172735" w14:textId="77777777" w:rsidR="00E2670D" w:rsidRPr="00875C82" w:rsidRDefault="00E2670D" w:rsidP="007C6DED">
            <w:pPr>
              <w:rPr>
                <w:sz w:val="20"/>
              </w:rPr>
            </w:pPr>
            <w:r w:rsidRPr="00875C82">
              <w:rPr>
                <w:sz w:val="20"/>
              </w:rPr>
              <w:t>Infection Prevention &amp; Control Committee</w:t>
            </w:r>
          </w:p>
        </w:tc>
      </w:tr>
      <w:tr w:rsidR="00E2670D" w:rsidRPr="00875C82" w14:paraId="2323C869" w14:textId="77777777" w:rsidTr="00E2670D">
        <w:tc>
          <w:tcPr>
            <w:tcW w:w="1778" w:type="dxa"/>
          </w:tcPr>
          <w:p w14:paraId="1ADB9DDC" w14:textId="77777777" w:rsidR="00E2670D" w:rsidRPr="00875C82" w:rsidRDefault="00E2670D" w:rsidP="007C6DED">
            <w:pPr>
              <w:rPr>
                <w:sz w:val="20"/>
              </w:rPr>
            </w:pPr>
            <w:r w:rsidRPr="00875C82">
              <w:rPr>
                <w:sz w:val="20"/>
              </w:rPr>
              <w:t>IPCT</w:t>
            </w:r>
          </w:p>
        </w:tc>
        <w:tc>
          <w:tcPr>
            <w:tcW w:w="7238" w:type="dxa"/>
          </w:tcPr>
          <w:p w14:paraId="7643D3DD" w14:textId="77777777" w:rsidR="00E2670D" w:rsidRPr="00875C82" w:rsidRDefault="00E2670D" w:rsidP="007C6DED">
            <w:pPr>
              <w:rPr>
                <w:sz w:val="20"/>
              </w:rPr>
            </w:pPr>
            <w:r w:rsidRPr="00875C82">
              <w:rPr>
                <w:sz w:val="20"/>
              </w:rPr>
              <w:t>Infection Prevention &amp; Control Team</w:t>
            </w:r>
          </w:p>
        </w:tc>
      </w:tr>
      <w:tr w:rsidR="00E2670D" w:rsidRPr="00875C82" w14:paraId="775DCABA" w14:textId="77777777" w:rsidTr="00E2670D">
        <w:tc>
          <w:tcPr>
            <w:tcW w:w="1778" w:type="dxa"/>
          </w:tcPr>
          <w:p w14:paraId="2ECC3931" w14:textId="77777777" w:rsidR="00E2670D" w:rsidRPr="00875C82" w:rsidRDefault="00E2670D" w:rsidP="007C6DED">
            <w:pPr>
              <w:rPr>
                <w:sz w:val="20"/>
              </w:rPr>
            </w:pPr>
            <w:r w:rsidRPr="00875C82">
              <w:rPr>
                <w:sz w:val="20"/>
              </w:rPr>
              <w:t>ICD</w:t>
            </w:r>
          </w:p>
        </w:tc>
        <w:tc>
          <w:tcPr>
            <w:tcW w:w="7238" w:type="dxa"/>
          </w:tcPr>
          <w:p w14:paraId="6BBAC67E" w14:textId="77777777" w:rsidR="00E2670D" w:rsidRPr="00875C82" w:rsidRDefault="00E2670D" w:rsidP="007C6DED">
            <w:pPr>
              <w:rPr>
                <w:sz w:val="20"/>
              </w:rPr>
            </w:pPr>
            <w:r w:rsidRPr="00875C82">
              <w:rPr>
                <w:sz w:val="20"/>
              </w:rPr>
              <w:t>Infection Control Doctor</w:t>
            </w:r>
          </w:p>
        </w:tc>
      </w:tr>
      <w:tr w:rsidR="00E2670D" w:rsidRPr="00875C82" w14:paraId="1FF6F70E" w14:textId="77777777" w:rsidTr="00E2670D">
        <w:tc>
          <w:tcPr>
            <w:tcW w:w="1778" w:type="dxa"/>
          </w:tcPr>
          <w:p w14:paraId="6437449E" w14:textId="6901917A" w:rsidR="00E2670D" w:rsidRPr="00875C82" w:rsidRDefault="00E2670D" w:rsidP="007C6DED">
            <w:pPr>
              <w:rPr>
                <w:sz w:val="20"/>
              </w:rPr>
            </w:pPr>
            <w:r w:rsidRPr="00875C82">
              <w:rPr>
                <w:sz w:val="20"/>
              </w:rPr>
              <w:t>ICS</w:t>
            </w:r>
          </w:p>
        </w:tc>
        <w:tc>
          <w:tcPr>
            <w:tcW w:w="7238" w:type="dxa"/>
          </w:tcPr>
          <w:p w14:paraId="375055C3" w14:textId="612D64A0" w:rsidR="00E2670D" w:rsidRPr="00875C82" w:rsidRDefault="00E2670D" w:rsidP="007C6DED">
            <w:pPr>
              <w:rPr>
                <w:sz w:val="20"/>
              </w:rPr>
            </w:pPr>
            <w:r w:rsidRPr="00875C82">
              <w:rPr>
                <w:sz w:val="20"/>
              </w:rPr>
              <w:t xml:space="preserve">Integrated Care System </w:t>
            </w:r>
          </w:p>
        </w:tc>
      </w:tr>
      <w:tr w:rsidR="00E2670D" w:rsidRPr="00875C82" w14:paraId="7934071F" w14:textId="77777777" w:rsidTr="00E2670D">
        <w:tc>
          <w:tcPr>
            <w:tcW w:w="1778" w:type="dxa"/>
          </w:tcPr>
          <w:p w14:paraId="60708610" w14:textId="257A3A19" w:rsidR="00E2670D" w:rsidRPr="00875C82" w:rsidRDefault="00E2670D" w:rsidP="007C6DED">
            <w:pPr>
              <w:rPr>
                <w:sz w:val="20"/>
              </w:rPr>
            </w:pPr>
            <w:r w:rsidRPr="00875C82">
              <w:rPr>
                <w:sz w:val="20"/>
              </w:rPr>
              <w:lastRenderedPageBreak/>
              <w:t>KPIs</w:t>
            </w:r>
          </w:p>
        </w:tc>
        <w:tc>
          <w:tcPr>
            <w:tcW w:w="7238" w:type="dxa"/>
          </w:tcPr>
          <w:p w14:paraId="57D3F392" w14:textId="77777777" w:rsidR="00E2670D" w:rsidRPr="00875C82" w:rsidRDefault="00E2670D" w:rsidP="007C6DED">
            <w:pPr>
              <w:rPr>
                <w:sz w:val="20"/>
              </w:rPr>
            </w:pPr>
            <w:r w:rsidRPr="00875C82">
              <w:rPr>
                <w:sz w:val="20"/>
              </w:rPr>
              <w:t>Key Performance Indicators</w:t>
            </w:r>
          </w:p>
        </w:tc>
      </w:tr>
      <w:tr w:rsidR="00E2670D" w:rsidRPr="00875C82" w14:paraId="54F9FB30" w14:textId="77777777" w:rsidTr="00E2670D">
        <w:tc>
          <w:tcPr>
            <w:tcW w:w="1778" w:type="dxa"/>
          </w:tcPr>
          <w:p w14:paraId="5C021D5B" w14:textId="77777777" w:rsidR="00E2670D" w:rsidRPr="00875C82" w:rsidRDefault="00E2670D" w:rsidP="007C6DED">
            <w:pPr>
              <w:rPr>
                <w:sz w:val="20"/>
              </w:rPr>
            </w:pPr>
            <w:r w:rsidRPr="00875C82">
              <w:rPr>
                <w:sz w:val="20"/>
              </w:rPr>
              <w:t>MDT</w:t>
            </w:r>
          </w:p>
        </w:tc>
        <w:tc>
          <w:tcPr>
            <w:tcW w:w="7238" w:type="dxa"/>
          </w:tcPr>
          <w:p w14:paraId="582D17E1" w14:textId="77777777" w:rsidR="00E2670D" w:rsidRPr="00875C82" w:rsidRDefault="00E2670D" w:rsidP="007C6DED">
            <w:pPr>
              <w:rPr>
                <w:sz w:val="20"/>
              </w:rPr>
            </w:pPr>
            <w:proofErr w:type="spellStart"/>
            <w:r w:rsidRPr="00875C82">
              <w:rPr>
                <w:sz w:val="20"/>
              </w:rPr>
              <w:t>Multi Disciplinary</w:t>
            </w:r>
            <w:proofErr w:type="spellEnd"/>
            <w:r w:rsidRPr="00875C82">
              <w:rPr>
                <w:sz w:val="20"/>
              </w:rPr>
              <w:t xml:space="preserve"> Team</w:t>
            </w:r>
          </w:p>
        </w:tc>
      </w:tr>
      <w:tr w:rsidR="00E2670D" w:rsidRPr="00875C82" w14:paraId="03C1ACA0" w14:textId="77777777" w:rsidTr="00E2670D">
        <w:tc>
          <w:tcPr>
            <w:tcW w:w="1778" w:type="dxa"/>
          </w:tcPr>
          <w:p w14:paraId="383DD7B0" w14:textId="77777777" w:rsidR="00E2670D" w:rsidRPr="00875C82" w:rsidRDefault="00E2670D" w:rsidP="007C6DED">
            <w:pPr>
              <w:rPr>
                <w:sz w:val="20"/>
              </w:rPr>
            </w:pPr>
            <w:r w:rsidRPr="00875C82">
              <w:rPr>
                <w:sz w:val="20"/>
              </w:rPr>
              <w:t>PIR</w:t>
            </w:r>
          </w:p>
        </w:tc>
        <w:tc>
          <w:tcPr>
            <w:tcW w:w="7238" w:type="dxa"/>
          </w:tcPr>
          <w:p w14:paraId="37885214" w14:textId="77777777" w:rsidR="00E2670D" w:rsidRPr="00875C82" w:rsidRDefault="00E2670D" w:rsidP="007C6DED">
            <w:pPr>
              <w:rPr>
                <w:sz w:val="20"/>
              </w:rPr>
            </w:pPr>
            <w:r w:rsidRPr="00875C82">
              <w:rPr>
                <w:sz w:val="20"/>
              </w:rPr>
              <w:t>Post Infection Review</w:t>
            </w:r>
          </w:p>
        </w:tc>
      </w:tr>
      <w:tr w:rsidR="00E2670D" w:rsidRPr="00875C82" w14:paraId="067F4CE2" w14:textId="77777777" w:rsidTr="00E2670D">
        <w:tc>
          <w:tcPr>
            <w:tcW w:w="1778" w:type="dxa"/>
          </w:tcPr>
          <w:p w14:paraId="3808240F" w14:textId="77777777" w:rsidR="00E2670D" w:rsidRPr="00875C82" w:rsidRDefault="00E2670D" w:rsidP="007C6DED">
            <w:pPr>
              <w:rPr>
                <w:sz w:val="20"/>
              </w:rPr>
            </w:pPr>
            <w:r w:rsidRPr="00875C82">
              <w:rPr>
                <w:sz w:val="20"/>
              </w:rPr>
              <w:t>PLACE</w:t>
            </w:r>
          </w:p>
        </w:tc>
        <w:tc>
          <w:tcPr>
            <w:tcW w:w="7238" w:type="dxa"/>
          </w:tcPr>
          <w:p w14:paraId="2B5C1430" w14:textId="77777777" w:rsidR="00E2670D" w:rsidRPr="00875C82" w:rsidRDefault="00E2670D" w:rsidP="007C6DED">
            <w:pPr>
              <w:rPr>
                <w:sz w:val="20"/>
              </w:rPr>
            </w:pPr>
            <w:r w:rsidRPr="00875C82">
              <w:rPr>
                <w:sz w:val="20"/>
              </w:rPr>
              <w:t>Patient Led Assessment of the Care Environment</w:t>
            </w:r>
          </w:p>
        </w:tc>
      </w:tr>
      <w:tr w:rsidR="00E2670D" w:rsidRPr="00875C82" w14:paraId="222DA322" w14:textId="77777777" w:rsidTr="00E2670D">
        <w:tc>
          <w:tcPr>
            <w:tcW w:w="1778" w:type="dxa"/>
          </w:tcPr>
          <w:p w14:paraId="4C62F9B1" w14:textId="77777777" w:rsidR="00E2670D" w:rsidRPr="00875C82" w:rsidRDefault="00E2670D" w:rsidP="007C6DED">
            <w:pPr>
              <w:rPr>
                <w:sz w:val="20"/>
              </w:rPr>
            </w:pPr>
            <w:r w:rsidRPr="00875C82">
              <w:rPr>
                <w:sz w:val="20"/>
              </w:rPr>
              <w:t>SATH</w:t>
            </w:r>
          </w:p>
        </w:tc>
        <w:tc>
          <w:tcPr>
            <w:tcW w:w="7238" w:type="dxa"/>
          </w:tcPr>
          <w:p w14:paraId="0C11CE8D" w14:textId="77777777" w:rsidR="00E2670D" w:rsidRPr="00875C82" w:rsidRDefault="00E2670D" w:rsidP="007C6DED">
            <w:pPr>
              <w:rPr>
                <w:sz w:val="20"/>
              </w:rPr>
            </w:pPr>
            <w:r w:rsidRPr="00875C82">
              <w:rPr>
                <w:sz w:val="20"/>
              </w:rPr>
              <w:t>Shrewsbury and Telford Hospitals</w:t>
            </w:r>
          </w:p>
        </w:tc>
      </w:tr>
      <w:tr w:rsidR="00E2670D" w:rsidRPr="00875C82" w14:paraId="76DAC49D" w14:textId="77777777" w:rsidTr="00E2670D">
        <w:tc>
          <w:tcPr>
            <w:tcW w:w="1778" w:type="dxa"/>
          </w:tcPr>
          <w:p w14:paraId="4BD813C3" w14:textId="77777777" w:rsidR="00E2670D" w:rsidRPr="00875C82" w:rsidRDefault="00E2670D" w:rsidP="007C6DED">
            <w:pPr>
              <w:rPr>
                <w:sz w:val="20"/>
              </w:rPr>
            </w:pPr>
            <w:r w:rsidRPr="00875C82">
              <w:rPr>
                <w:sz w:val="20"/>
              </w:rPr>
              <w:t>SSI</w:t>
            </w:r>
          </w:p>
        </w:tc>
        <w:tc>
          <w:tcPr>
            <w:tcW w:w="7238" w:type="dxa"/>
          </w:tcPr>
          <w:p w14:paraId="3B7AF376" w14:textId="77777777" w:rsidR="00E2670D" w:rsidRPr="00875C82" w:rsidRDefault="00E2670D" w:rsidP="007C6DED">
            <w:pPr>
              <w:rPr>
                <w:sz w:val="20"/>
              </w:rPr>
            </w:pPr>
            <w:r w:rsidRPr="00875C82">
              <w:rPr>
                <w:sz w:val="20"/>
              </w:rPr>
              <w:t>Surgical Site Surveillance</w:t>
            </w:r>
          </w:p>
        </w:tc>
      </w:tr>
      <w:tr w:rsidR="00E2670D" w:rsidRPr="00875C82" w14:paraId="60CF13DE" w14:textId="77777777" w:rsidTr="00E2670D">
        <w:tc>
          <w:tcPr>
            <w:tcW w:w="1778" w:type="dxa"/>
          </w:tcPr>
          <w:p w14:paraId="41B5B791" w14:textId="77777777" w:rsidR="00E2670D" w:rsidRPr="00875C82" w:rsidRDefault="00E2670D" w:rsidP="007C6DED">
            <w:pPr>
              <w:rPr>
                <w:sz w:val="20"/>
              </w:rPr>
            </w:pPr>
            <w:r w:rsidRPr="00875C82">
              <w:rPr>
                <w:sz w:val="20"/>
              </w:rPr>
              <w:t>SNAHP</w:t>
            </w:r>
          </w:p>
        </w:tc>
        <w:tc>
          <w:tcPr>
            <w:tcW w:w="7238" w:type="dxa"/>
          </w:tcPr>
          <w:p w14:paraId="73500B51" w14:textId="77777777" w:rsidR="00E2670D" w:rsidRPr="00875C82" w:rsidRDefault="00E2670D" w:rsidP="007C6DED">
            <w:pPr>
              <w:rPr>
                <w:sz w:val="20"/>
              </w:rPr>
            </w:pPr>
            <w:r w:rsidRPr="00875C82">
              <w:rPr>
                <w:sz w:val="20"/>
              </w:rPr>
              <w:t>Senior Nurse and Allied Health Professionals</w:t>
            </w:r>
          </w:p>
        </w:tc>
      </w:tr>
      <w:tr w:rsidR="00E2670D" w:rsidRPr="00875C82" w14:paraId="76CCCC95" w14:textId="77777777" w:rsidTr="00E2670D">
        <w:tc>
          <w:tcPr>
            <w:tcW w:w="1778" w:type="dxa"/>
          </w:tcPr>
          <w:p w14:paraId="033A05CB" w14:textId="77777777" w:rsidR="00E2670D" w:rsidRPr="00875C82" w:rsidRDefault="00E2670D" w:rsidP="007C6DED">
            <w:pPr>
              <w:rPr>
                <w:sz w:val="20"/>
              </w:rPr>
            </w:pPr>
            <w:r w:rsidRPr="00875C82">
              <w:rPr>
                <w:sz w:val="20"/>
              </w:rPr>
              <w:t>SOP</w:t>
            </w:r>
          </w:p>
        </w:tc>
        <w:tc>
          <w:tcPr>
            <w:tcW w:w="7238" w:type="dxa"/>
          </w:tcPr>
          <w:p w14:paraId="63FCDD90" w14:textId="77777777" w:rsidR="00E2670D" w:rsidRPr="00875C82" w:rsidRDefault="00E2670D" w:rsidP="007C6DED">
            <w:pPr>
              <w:rPr>
                <w:sz w:val="20"/>
              </w:rPr>
            </w:pPr>
            <w:r w:rsidRPr="00875C82">
              <w:rPr>
                <w:sz w:val="20"/>
              </w:rPr>
              <w:t>Standard Operating Procedure</w:t>
            </w:r>
          </w:p>
        </w:tc>
      </w:tr>
      <w:tr w:rsidR="00E2670D" w:rsidRPr="00875C82" w14:paraId="4E1DBDA8" w14:textId="77777777" w:rsidTr="00E2670D">
        <w:tc>
          <w:tcPr>
            <w:tcW w:w="1778" w:type="dxa"/>
          </w:tcPr>
          <w:p w14:paraId="29D156DB" w14:textId="77777777" w:rsidR="00E2670D" w:rsidRPr="00875C82" w:rsidRDefault="00E2670D" w:rsidP="007C6DED">
            <w:pPr>
              <w:rPr>
                <w:sz w:val="20"/>
              </w:rPr>
            </w:pPr>
            <w:r w:rsidRPr="00875C82">
              <w:rPr>
                <w:sz w:val="20"/>
              </w:rPr>
              <w:t>TSSU</w:t>
            </w:r>
          </w:p>
        </w:tc>
        <w:tc>
          <w:tcPr>
            <w:tcW w:w="7238" w:type="dxa"/>
          </w:tcPr>
          <w:p w14:paraId="5EFDEA98" w14:textId="77777777" w:rsidR="00E2670D" w:rsidRPr="00875C82" w:rsidRDefault="00E2670D" w:rsidP="007C6DED">
            <w:pPr>
              <w:rPr>
                <w:sz w:val="20"/>
              </w:rPr>
            </w:pPr>
            <w:r w:rsidRPr="00875C82">
              <w:rPr>
                <w:sz w:val="20"/>
              </w:rPr>
              <w:t xml:space="preserve">Theatre Sterile Services Unit </w:t>
            </w:r>
          </w:p>
        </w:tc>
      </w:tr>
      <w:tr w:rsidR="00E2670D" w:rsidRPr="00875C82" w14:paraId="16599809" w14:textId="77777777" w:rsidTr="00E2670D">
        <w:tc>
          <w:tcPr>
            <w:tcW w:w="1778" w:type="dxa"/>
          </w:tcPr>
          <w:p w14:paraId="2381CC7F" w14:textId="09DF47A3" w:rsidR="00E2670D" w:rsidRPr="00875C82" w:rsidRDefault="00E2670D" w:rsidP="007C6DED">
            <w:pPr>
              <w:rPr>
                <w:sz w:val="20"/>
              </w:rPr>
            </w:pPr>
            <w:r w:rsidRPr="00875C82">
              <w:rPr>
                <w:sz w:val="20"/>
              </w:rPr>
              <w:t>UKHSA</w:t>
            </w:r>
          </w:p>
        </w:tc>
        <w:tc>
          <w:tcPr>
            <w:tcW w:w="7238" w:type="dxa"/>
          </w:tcPr>
          <w:p w14:paraId="458EE7A6" w14:textId="145A9204" w:rsidR="00E2670D" w:rsidRPr="00875C82" w:rsidRDefault="00E2670D" w:rsidP="007C6DED">
            <w:pPr>
              <w:rPr>
                <w:sz w:val="20"/>
              </w:rPr>
            </w:pPr>
            <w:r w:rsidRPr="00875C82">
              <w:rPr>
                <w:sz w:val="20"/>
              </w:rPr>
              <w:t xml:space="preserve">UK Health Security Agency </w:t>
            </w:r>
          </w:p>
        </w:tc>
      </w:tr>
      <w:tr w:rsidR="00E2670D" w:rsidRPr="00875C82" w14:paraId="30555AE0" w14:textId="77777777" w:rsidTr="00E2670D">
        <w:tc>
          <w:tcPr>
            <w:tcW w:w="1778" w:type="dxa"/>
          </w:tcPr>
          <w:p w14:paraId="6601BA35" w14:textId="77777777" w:rsidR="00E2670D" w:rsidRPr="00875C82" w:rsidRDefault="00E2670D" w:rsidP="007C6DED">
            <w:pPr>
              <w:rPr>
                <w:sz w:val="20"/>
              </w:rPr>
            </w:pPr>
            <w:r w:rsidRPr="00875C82">
              <w:rPr>
                <w:sz w:val="20"/>
              </w:rPr>
              <w:t>WTE</w:t>
            </w:r>
          </w:p>
        </w:tc>
        <w:tc>
          <w:tcPr>
            <w:tcW w:w="7238" w:type="dxa"/>
          </w:tcPr>
          <w:p w14:paraId="6B517DD6" w14:textId="77777777" w:rsidR="00E2670D" w:rsidRPr="00875C82" w:rsidRDefault="00E2670D" w:rsidP="007C6DED">
            <w:pPr>
              <w:rPr>
                <w:sz w:val="20"/>
              </w:rPr>
            </w:pPr>
            <w:r w:rsidRPr="00875C82">
              <w:rPr>
                <w:sz w:val="20"/>
              </w:rPr>
              <w:t>Whole Time Equivalent</w:t>
            </w:r>
          </w:p>
        </w:tc>
      </w:tr>
    </w:tbl>
    <w:p w14:paraId="01CB77C7" w14:textId="77777777" w:rsidR="00E2670D" w:rsidRPr="007B3466" w:rsidRDefault="00E2670D" w:rsidP="007D4F16">
      <w:pPr>
        <w:spacing w:before="0" w:after="200" w:line="276" w:lineRule="auto"/>
        <w:rPr>
          <w:b/>
          <w:bCs/>
          <w:sz w:val="22"/>
          <w:szCs w:val="20"/>
        </w:rPr>
      </w:pPr>
    </w:p>
    <w:p w14:paraId="77530F84" w14:textId="3F44EDBC" w:rsidR="00191F8E" w:rsidRPr="004959C8" w:rsidRDefault="00460AE7" w:rsidP="004959C8">
      <w:pPr>
        <w:pStyle w:val="Heading3"/>
        <w:rPr>
          <w:rFonts w:cs="Arial"/>
          <w:b/>
          <w:color w:val="auto"/>
          <w:sz w:val="22"/>
          <w:szCs w:val="22"/>
          <w:u w:val="single"/>
        </w:rPr>
      </w:pPr>
      <w:r w:rsidRPr="004959C8">
        <w:rPr>
          <w:rFonts w:cs="Arial"/>
          <w:b/>
          <w:color w:val="auto"/>
          <w:sz w:val="22"/>
          <w:szCs w:val="22"/>
          <w:u w:val="single"/>
        </w:rPr>
        <w:t>Introduction</w:t>
      </w:r>
    </w:p>
    <w:p w14:paraId="07867DA9" w14:textId="77777777" w:rsidR="00511E65" w:rsidRPr="003210F4" w:rsidRDefault="002C0687" w:rsidP="00511E65">
      <w:pPr>
        <w:rPr>
          <w:rFonts w:cs="Arial"/>
          <w:sz w:val="20"/>
          <w:szCs w:val="20"/>
        </w:rPr>
      </w:pPr>
      <w:r w:rsidRPr="003210F4">
        <w:rPr>
          <w:rFonts w:cs="Arial"/>
          <w:sz w:val="20"/>
          <w:szCs w:val="20"/>
        </w:rPr>
        <w:t xml:space="preserve">The Robert Jones and Agnes Hunt Orthopaedic Hospital NHS Foundation Trust (RJAH) is a specialist orthopaedic centre.  We provide specialist and routine orthopaedic care to our local catchment area, as well as specialist services both regionally and nationally.  </w:t>
      </w:r>
    </w:p>
    <w:p w14:paraId="52B9EE56" w14:textId="5B3DC215" w:rsidR="00511E65" w:rsidRPr="003210F4" w:rsidRDefault="002C0687" w:rsidP="00511E65">
      <w:pPr>
        <w:rPr>
          <w:rFonts w:cs="Arial"/>
          <w:sz w:val="20"/>
          <w:szCs w:val="20"/>
        </w:rPr>
      </w:pPr>
      <w:r w:rsidRPr="003210F4">
        <w:rPr>
          <w:rFonts w:cs="Arial"/>
          <w:sz w:val="20"/>
          <w:szCs w:val="20"/>
        </w:rPr>
        <w:t>Our organisation is a single site hospital based in Oswestry, Shropshire, close to the border with Wales.  We serve the people of England and Wales, as well as acting as a national healthcare provider.  We also host some local services which support the communities in and around Oswestry.</w:t>
      </w:r>
      <w:r w:rsidR="00511E65" w:rsidRPr="003210F4">
        <w:rPr>
          <w:rFonts w:cs="Arial"/>
          <w:sz w:val="20"/>
          <w:szCs w:val="20"/>
        </w:rPr>
        <w:t xml:space="preserve">  </w:t>
      </w:r>
      <w:r w:rsidRPr="003210F4">
        <w:rPr>
          <w:rFonts w:eastAsia="Times New Roman" w:cs="Arial"/>
          <w:spacing w:val="-5"/>
          <w:sz w:val="20"/>
          <w:szCs w:val="20"/>
        </w:rPr>
        <w:t xml:space="preserve">The hospital is a specialist centre for the treatment of spinal injuries and disorders, </w:t>
      </w:r>
      <w:proofErr w:type="gramStart"/>
      <w:r w:rsidRPr="003210F4">
        <w:rPr>
          <w:rFonts w:eastAsia="Times New Roman" w:cs="Arial"/>
          <w:spacing w:val="-5"/>
          <w:sz w:val="20"/>
          <w:szCs w:val="20"/>
        </w:rPr>
        <w:t>and also</w:t>
      </w:r>
      <w:proofErr w:type="gramEnd"/>
      <w:r w:rsidRPr="003210F4">
        <w:rPr>
          <w:rFonts w:eastAsia="Times New Roman" w:cs="Arial"/>
          <w:spacing w:val="-5"/>
          <w:sz w:val="20"/>
          <w:szCs w:val="20"/>
        </w:rPr>
        <w:t xml:space="preserve"> provides specialist treatment for children with musculoskeletal disorders. Additionally, the </w:t>
      </w:r>
      <w:r w:rsidR="00511E65" w:rsidRPr="003210F4">
        <w:rPr>
          <w:rFonts w:eastAsia="Times New Roman" w:cs="Arial"/>
          <w:spacing w:val="-5"/>
          <w:sz w:val="20"/>
          <w:szCs w:val="20"/>
        </w:rPr>
        <w:t>T</w:t>
      </w:r>
      <w:r w:rsidRPr="003210F4">
        <w:rPr>
          <w:rFonts w:eastAsia="Times New Roman" w:cs="Arial"/>
          <w:spacing w:val="-5"/>
          <w:sz w:val="20"/>
          <w:szCs w:val="20"/>
        </w:rPr>
        <w:t xml:space="preserve">rust works with partner organisations to provide specialist treatment for bone tumours and </w:t>
      </w:r>
      <w:proofErr w:type="gramStart"/>
      <w:r w:rsidRPr="003210F4">
        <w:rPr>
          <w:rFonts w:eastAsia="Times New Roman" w:cs="Arial"/>
          <w:spacing w:val="-5"/>
          <w:sz w:val="20"/>
          <w:szCs w:val="20"/>
        </w:rPr>
        <w:t>community based</w:t>
      </w:r>
      <w:proofErr w:type="gramEnd"/>
      <w:r w:rsidRPr="003210F4">
        <w:rPr>
          <w:rFonts w:eastAsia="Times New Roman" w:cs="Arial"/>
          <w:spacing w:val="-5"/>
          <w:sz w:val="20"/>
          <w:szCs w:val="20"/>
        </w:rPr>
        <w:t xml:space="preserve"> rheumatology services.</w:t>
      </w:r>
    </w:p>
    <w:p w14:paraId="72635C4A" w14:textId="0C77B77C" w:rsidR="002C0687" w:rsidRPr="003210F4" w:rsidRDefault="002C0687" w:rsidP="00511E65">
      <w:pPr>
        <w:rPr>
          <w:rFonts w:cs="Arial"/>
          <w:sz w:val="20"/>
          <w:szCs w:val="20"/>
        </w:rPr>
      </w:pPr>
      <w:r w:rsidRPr="003210F4">
        <w:rPr>
          <w:rFonts w:eastAsia="Times New Roman" w:cs="Arial"/>
          <w:spacing w:val="-5"/>
          <w:sz w:val="20"/>
          <w:szCs w:val="20"/>
          <w:lang w:eastAsia="en-GB"/>
        </w:rPr>
        <w:t>The</w:t>
      </w:r>
      <w:r w:rsidR="00511E65" w:rsidRPr="003210F4">
        <w:rPr>
          <w:rFonts w:eastAsia="Times New Roman" w:cs="Arial"/>
          <w:spacing w:val="-5"/>
          <w:sz w:val="20"/>
          <w:szCs w:val="20"/>
          <w:lang w:eastAsia="en-GB"/>
        </w:rPr>
        <w:t xml:space="preserve"> T</w:t>
      </w:r>
      <w:r w:rsidRPr="003210F4">
        <w:rPr>
          <w:rFonts w:eastAsia="Times New Roman" w:cs="Arial"/>
          <w:spacing w:val="-5"/>
          <w:sz w:val="20"/>
          <w:szCs w:val="20"/>
          <w:lang w:eastAsia="en-GB"/>
        </w:rPr>
        <w:t>rust is part of the National Orthopaedic Alliance (NOA), an acute care collaboration vanguard designed to improve orthopaedic care quality across England.</w:t>
      </w:r>
    </w:p>
    <w:p w14:paraId="299CE865" w14:textId="7A1B0169" w:rsidR="00D75DE2" w:rsidRPr="003210F4" w:rsidRDefault="002C0687" w:rsidP="00D75DE2">
      <w:pPr>
        <w:rPr>
          <w:rFonts w:cs="Arial"/>
          <w:sz w:val="20"/>
          <w:szCs w:val="18"/>
        </w:rPr>
      </w:pPr>
      <w:r w:rsidRPr="003210F4">
        <w:rPr>
          <w:rFonts w:cs="Arial"/>
          <w:sz w:val="20"/>
          <w:szCs w:val="18"/>
        </w:rPr>
        <w:t xml:space="preserve">As a member of Shropshire, </w:t>
      </w:r>
      <w:proofErr w:type="gramStart"/>
      <w:r w:rsidRPr="003210F4">
        <w:rPr>
          <w:rFonts w:cs="Arial"/>
          <w:sz w:val="20"/>
          <w:szCs w:val="18"/>
        </w:rPr>
        <w:t>Telford</w:t>
      </w:r>
      <w:proofErr w:type="gramEnd"/>
      <w:r w:rsidRPr="003210F4">
        <w:rPr>
          <w:rFonts w:cs="Arial"/>
          <w:sz w:val="20"/>
          <w:szCs w:val="18"/>
        </w:rPr>
        <w:t xml:space="preserve"> and Wrekin Integrated Care System, we strive to deliver world class care by working in partnership to continuously improve and meet the needs of those we serve.</w:t>
      </w:r>
    </w:p>
    <w:p w14:paraId="378CCC3D" w14:textId="77777777" w:rsidR="00E04121" w:rsidRPr="003210F4" w:rsidRDefault="00E04121" w:rsidP="00E11118">
      <w:pPr>
        <w:rPr>
          <w:rFonts w:cs="Arial"/>
          <w:b/>
          <w:sz w:val="22"/>
        </w:rPr>
      </w:pPr>
    </w:p>
    <w:p w14:paraId="0B386B9C" w14:textId="57EA5C58" w:rsidR="00976CF7" w:rsidRPr="00875C82" w:rsidRDefault="00C7543B" w:rsidP="00E11118">
      <w:pPr>
        <w:rPr>
          <w:b/>
          <w:color w:val="000000" w:themeColor="text1"/>
          <w:sz w:val="22"/>
          <w:u w:val="single"/>
        </w:rPr>
      </w:pPr>
      <w:r w:rsidRPr="00875C82">
        <w:rPr>
          <w:b/>
          <w:color w:val="000000" w:themeColor="text1"/>
          <w:sz w:val="22"/>
          <w:u w:val="single"/>
        </w:rPr>
        <w:t>Health &amp; Social Care Act</w:t>
      </w:r>
    </w:p>
    <w:p w14:paraId="1E539F1E" w14:textId="39F204AF" w:rsidR="00875C82" w:rsidRPr="00682191" w:rsidRDefault="00D937B0" w:rsidP="00D937B0">
      <w:pPr>
        <w:pStyle w:val="body"/>
        <w:rPr>
          <w:b/>
          <w:bCs/>
          <w:sz w:val="20"/>
          <w:szCs w:val="20"/>
        </w:rPr>
      </w:pPr>
      <w:r>
        <w:rPr>
          <w:rStyle w:val="IntenseEmphasis"/>
          <w:bCs/>
          <w:i w:val="0"/>
          <w:iCs w:val="0"/>
          <w:color w:val="auto"/>
          <w:sz w:val="20"/>
          <w:szCs w:val="20"/>
        </w:rPr>
        <w:t>In December 2022 t</w:t>
      </w:r>
      <w:r w:rsidRPr="00D937B0">
        <w:rPr>
          <w:rStyle w:val="IntenseEmphasis"/>
          <w:bCs/>
          <w:i w:val="0"/>
          <w:iCs w:val="0"/>
          <w:color w:val="auto"/>
          <w:sz w:val="20"/>
          <w:szCs w:val="20"/>
        </w:rPr>
        <w:t xml:space="preserve">he Health &amp; Social care Act 2008 </w:t>
      </w:r>
      <w:proofErr w:type="gramStart"/>
      <w:r>
        <w:rPr>
          <w:rStyle w:val="IntenseEmphasis"/>
          <w:bCs/>
          <w:i w:val="0"/>
          <w:iCs w:val="0"/>
          <w:color w:val="auto"/>
          <w:sz w:val="20"/>
          <w:szCs w:val="20"/>
        </w:rPr>
        <w:t>was</w:t>
      </w:r>
      <w:r w:rsidRPr="00D937B0">
        <w:rPr>
          <w:rStyle w:val="IntenseEmphasis"/>
          <w:bCs/>
          <w:i w:val="0"/>
          <w:iCs w:val="0"/>
          <w:color w:val="auto"/>
          <w:sz w:val="20"/>
          <w:szCs w:val="20"/>
        </w:rPr>
        <w:t xml:space="preserve"> been</w:t>
      </w:r>
      <w:proofErr w:type="gramEnd"/>
      <w:r w:rsidRPr="00D937B0">
        <w:rPr>
          <w:rStyle w:val="IntenseEmphasis"/>
          <w:bCs/>
          <w:i w:val="0"/>
          <w:iCs w:val="0"/>
          <w:color w:val="auto"/>
          <w:sz w:val="20"/>
          <w:szCs w:val="20"/>
        </w:rPr>
        <w:t xml:space="preserve"> revised. The code now reflects the changes required to meet the Health and Social Care Act 2008 (Regulated Activities) Regulations 2014 and the role of infection prevention (including cleanliness) in optimising antimicrobial use and reducing antimicrobial </w:t>
      </w:r>
      <w:proofErr w:type="gramStart"/>
      <w:r w:rsidRPr="00D937B0">
        <w:rPr>
          <w:rStyle w:val="IntenseEmphasis"/>
          <w:bCs/>
          <w:i w:val="0"/>
          <w:iCs w:val="0"/>
          <w:color w:val="auto"/>
          <w:sz w:val="20"/>
          <w:szCs w:val="20"/>
        </w:rPr>
        <w:t>resistance</w:t>
      </w:r>
      <w:proofErr w:type="gramEnd"/>
    </w:p>
    <w:p w14:paraId="313BDB34" w14:textId="1DE57FB0" w:rsidR="00151F39" w:rsidRDefault="00151F39" w:rsidP="00E11118">
      <w:pPr>
        <w:rPr>
          <w:color w:val="000000" w:themeColor="text1"/>
          <w:sz w:val="22"/>
        </w:rPr>
      </w:pPr>
    </w:p>
    <w:tbl>
      <w:tblPr>
        <w:tblStyle w:val="GridTable1Light-Accent1"/>
        <w:tblW w:w="0" w:type="auto"/>
        <w:tblLook w:val="04A0" w:firstRow="1" w:lastRow="0" w:firstColumn="1" w:lastColumn="0" w:noHBand="0" w:noVBand="1"/>
      </w:tblPr>
      <w:tblGrid>
        <w:gridCol w:w="1838"/>
        <w:gridCol w:w="7178"/>
      </w:tblGrid>
      <w:tr w:rsidR="00875C82" w:rsidRPr="00875C82" w14:paraId="2BCFD1A3" w14:textId="77777777" w:rsidTr="00875C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D90F38" w14:textId="387DF341" w:rsidR="00875C82" w:rsidRPr="00875C82" w:rsidRDefault="00875C82" w:rsidP="00E11118">
            <w:pPr>
              <w:rPr>
                <w:color w:val="000000" w:themeColor="text1"/>
                <w:sz w:val="20"/>
                <w:szCs w:val="20"/>
              </w:rPr>
            </w:pPr>
          </w:p>
        </w:tc>
        <w:tc>
          <w:tcPr>
            <w:tcW w:w="7178" w:type="dxa"/>
          </w:tcPr>
          <w:p w14:paraId="7A29AC9C" w14:textId="79E2C783" w:rsidR="00875C82" w:rsidRPr="00875C82" w:rsidRDefault="00875C82" w:rsidP="00875C82">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What providers will need to show evidence of</w:t>
            </w:r>
          </w:p>
        </w:tc>
      </w:tr>
      <w:tr w:rsidR="00875C82" w:rsidRPr="00875C82" w14:paraId="21FAF774" w14:textId="77777777" w:rsidTr="00875C82">
        <w:tc>
          <w:tcPr>
            <w:cnfStyle w:val="001000000000" w:firstRow="0" w:lastRow="0" w:firstColumn="1" w:lastColumn="0" w:oddVBand="0" w:evenVBand="0" w:oddHBand="0" w:evenHBand="0" w:firstRowFirstColumn="0" w:firstRowLastColumn="0" w:lastRowFirstColumn="0" w:lastRowLastColumn="0"/>
            <w:tcW w:w="1838" w:type="dxa"/>
          </w:tcPr>
          <w:p w14:paraId="5EAA2285" w14:textId="4E36683C" w:rsidR="00875C82" w:rsidRPr="00875C82" w:rsidRDefault="00875C82" w:rsidP="00E11118">
            <w:pPr>
              <w:rPr>
                <w:color w:val="000000" w:themeColor="text1"/>
                <w:sz w:val="20"/>
                <w:szCs w:val="20"/>
              </w:rPr>
            </w:pPr>
            <w:r w:rsidRPr="00875C82">
              <w:rPr>
                <w:color w:val="000000" w:themeColor="text1"/>
                <w:sz w:val="20"/>
                <w:szCs w:val="20"/>
              </w:rPr>
              <w:t xml:space="preserve">Criterion 1 </w:t>
            </w:r>
          </w:p>
        </w:tc>
        <w:tc>
          <w:tcPr>
            <w:tcW w:w="7178" w:type="dxa"/>
          </w:tcPr>
          <w:p w14:paraId="3FFB2D05" w14:textId="0664B68E" w:rsidR="00875C82" w:rsidRPr="00875C82" w:rsidRDefault="00875C82" w:rsidP="00E1111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Systems to manage and monitor the prevention and control of infection. These systems use risk assessments and consider the susceptibility of service users and any risks that their environment and other users may pose to them.</w:t>
            </w:r>
          </w:p>
        </w:tc>
      </w:tr>
      <w:tr w:rsidR="00875C82" w:rsidRPr="00875C82" w14:paraId="413345DC" w14:textId="77777777" w:rsidTr="00875C82">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tcPr>
          <w:p w14:paraId="33F3E06D" w14:textId="2898FB12" w:rsidR="00875C82" w:rsidRPr="00875C82" w:rsidRDefault="00875C82" w:rsidP="00E11118">
            <w:pPr>
              <w:rPr>
                <w:sz w:val="20"/>
                <w:szCs w:val="20"/>
              </w:rPr>
            </w:pPr>
            <w:r w:rsidRPr="00875C82">
              <w:rPr>
                <w:sz w:val="20"/>
                <w:szCs w:val="20"/>
              </w:rPr>
              <w:t xml:space="preserve">Criterion 2 </w:t>
            </w:r>
          </w:p>
        </w:tc>
        <w:tc>
          <w:tcPr>
            <w:tcW w:w="7178" w:type="dxa"/>
            <w:shd w:val="clear" w:color="auto" w:fill="C6D9F1" w:themeFill="text2" w:themeFillTint="33"/>
          </w:tcPr>
          <w:p w14:paraId="2DF593C9" w14:textId="3D833220" w:rsidR="00875C82" w:rsidRPr="00875C82" w:rsidRDefault="00875C82" w:rsidP="00E11118">
            <w:pPr>
              <w:cnfStyle w:val="000000000000" w:firstRow="0" w:lastRow="0" w:firstColumn="0" w:lastColumn="0" w:oddVBand="0" w:evenVBand="0" w:oddHBand="0" w:evenHBand="0" w:firstRowFirstColumn="0" w:firstRowLastColumn="0" w:lastRowFirstColumn="0" w:lastRowLastColumn="0"/>
              <w:rPr>
                <w:sz w:val="20"/>
                <w:szCs w:val="20"/>
              </w:rPr>
            </w:pPr>
            <w:r w:rsidRPr="00875C82">
              <w:rPr>
                <w:sz w:val="20"/>
                <w:szCs w:val="20"/>
              </w:rPr>
              <w:t>Provide and maintain a clean and appropriate environment in managed premises that facilitates the prevention and control of infections</w:t>
            </w:r>
          </w:p>
        </w:tc>
      </w:tr>
      <w:tr w:rsidR="00875C82" w:rsidRPr="00875C82" w14:paraId="18F5448A" w14:textId="77777777" w:rsidTr="00875C82">
        <w:tc>
          <w:tcPr>
            <w:cnfStyle w:val="001000000000" w:firstRow="0" w:lastRow="0" w:firstColumn="1" w:lastColumn="0" w:oddVBand="0" w:evenVBand="0" w:oddHBand="0" w:evenHBand="0" w:firstRowFirstColumn="0" w:firstRowLastColumn="0" w:lastRowFirstColumn="0" w:lastRowLastColumn="0"/>
            <w:tcW w:w="1838" w:type="dxa"/>
          </w:tcPr>
          <w:p w14:paraId="670BD978" w14:textId="0B0E5C72" w:rsidR="00875C82" w:rsidRPr="00875C82" w:rsidRDefault="00875C82" w:rsidP="00E11118">
            <w:pPr>
              <w:rPr>
                <w:color w:val="000000" w:themeColor="text1"/>
                <w:sz w:val="20"/>
                <w:szCs w:val="20"/>
              </w:rPr>
            </w:pPr>
            <w:r w:rsidRPr="00875C82">
              <w:rPr>
                <w:color w:val="000000" w:themeColor="text1"/>
                <w:sz w:val="20"/>
                <w:szCs w:val="20"/>
              </w:rPr>
              <w:t>Criterion 3</w:t>
            </w:r>
          </w:p>
        </w:tc>
        <w:tc>
          <w:tcPr>
            <w:tcW w:w="7178" w:type="dxa"/>
          </w:tcPr>
          <w:p w14:paraId="4CA2B48C" w14:textId="43373293" w:rsidR="00875C82" w:rsidRPr="00875C82" w:rsidRDefault="00875C82" w:rsidP="00E1111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Ensure appropriate antimicrobial use to optimise patient outcomes and to reduce the risk of adverse events and antimicrobial resistance</w:t>
            </w:r>
          </w:p>
        </w:tc>
      </w:tr>
      <w:tr w:rsidR="00875C82" w:rsidRPr="00875C82" w14:paraId="0FE5AF23" w14:textId="77777777" w:rsidTr="00875C82">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tcPr>
          <w:p w14:paraId="14532845" w14:textId="4C38F673" w:rsidR="00875C82" w:rsidRPr="00875C82" w:rsidRDefault="00875C82" w:rsidP="00E11118">
            <w:pPr>
              <w:rPr>
                <w:color w:val="000000" w:themeColor="text1"/>
                <w:sz w:val="20"/>
                <w:szCs w:val="20"/>
              </w:rPr>
            </w:pPr>
            <w:r w:rsidRPr="00875C82">
              <w:rPr>
                <w:color w:val="000000" w:themeColor="text1"/>
                <w:sz w:val="20"/>
                <w:szCs w:val="20"/>
              </w:rPr>
              <w:t>Criterion 4</w:t>
            </w:r>
          </w:p>
        </w:tc>
        <w:tc>
          <w:tcPr>
            <w:tcW w:w="7178" w:type="dxa"/>
            <w:shd w:val="clear" w:color="auto" w:fill="C6D9F1" w:themeFill="text2" w:themeFillTint="33"/>
          </w:tcPr>
          <w:p w14:paraId="553C9324" w14:textId="70AF366C" w:rsidR="00875C82" w:rsidRPr="00875C82" w:rsidRDefault="00875C82" w:rsidP="00E1111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Provide suitable accurate information on infections to service users, their visitors and any person concerned with providing further support or nursing/medical care in a timely fashion</w:t>
            </w:r>
          </w:p>
        </w:tc>
      </w:tr>
      <w:tr w:rsidR="00875C82" w:rsidRPr="00875C82" w14:paraId="69A49A21" w14:textId="77777777" w:rsidTr="00875C82">
        <w:tc>
          <w:tcPr>
            <w:cnfStyle w:val="001000000000" w:firstRow="0" w:lastRow="0" w:firstColumn="1" w:lastColumn="0" w:oddVBand="0" w:evenVBand="0" w:oddHBand="0" w:evenHBand="0" w:firstRowFirstColumn="0" w:firstRowLastColumn="0" w:lastRowFirstColumn="0" w:lastRowLastColumn="0"/>
            <w:tcW w:w="1838" w:type="dxa"/>
          </w:tcPr>
          <w:p w14:paraId="797C8A22" w14:textId="19925936" w:rsidR="00875C82" w:rsidRPr="00875C82" w:rsidRDefault="00875C82" w:rsidP="00E11118">
            <w:pPr>
              <w:rPr>
                <w:color w:val="000000" w:themeColor="text1"/>
                <w:sz w:val="20"/>
                <w:szCs w:val="20"/>
              </w:rPr>
            </w:pPr>
            <w:r w:rsidRPr="00875C82">
              <w:rPr>
                <w:color w:val="000000" w:themeColor="text1"/>
                <w:sz w:val="20"/>
                <w:szCs w:val="20"/>
              </w:rPr>
              <w:lastRenderedPageBreak/>
              <w:t>Criterion 5</w:t>
            </w:r>
          </w:p>
        </w:tc>
        <w:tc>
          <w:tcPr>
            <w:tcW w:w="7178" w:type="dxa"/>
          </w:tcPr>
          <w:p w14:paraId="39CC31F0" w14:textId="1BC3905D" w:rsidR="00875C82" w:rsidRPr="00875C82" w:rsidRDefault="00875C82" w:rsidP="00E1111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Ensure that people who have or at risk of developing an infection are identified promptly and receive the appropriate treatment and care to reduce the risk of transmission of infection to other people.</w:t>
            </w:r>
          </w:p>
        </w:tc>
      </w:tr>
      <w:tr w:rsidR="00875C82" w:rsidRPr="00875C82" w14:paraId="6A1E7F31" w14:textId="77777777" w:rsidTr="00875C82">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tcPr>
          <w:p w14:paraId="6AB9CAF0" w14:textId="6FFF2912" w:rsidR="00875C82" w:rsidRPr="00875C82" w:rsidRDefault="00875C82" w:rsidP="00E11118">
            <w:pPr>
              <w:rPr>
                <w:color w:val="000000" w:themeColor="text1"/>
                <w:sz w:val="20"/>
                <w:szCs w:val="20"/>
              </w:rPr>
            </w:pPr>
            <w:r w:rsidRPr="00875C82">
              <w:rPr>
                <w:color w:val="000000" w:themeColor="text1"/>
                <w:sz w:val="20"/>
                <w:szCs w:val="20"/>
              </w:rPr>
              <w:t>Criterion 6</w:t>
            </w:r>
          </w:p>
        </w:tc>
        <w:tc>
          <w:tcPr>
            <w:tcW w:w="7178" w:type="dxa"/>
            <w:shd w:val="clear" w:color="auto" w:fill="C6D9F1" w:themeFill="text2" w:themeFillTint="33"/>
          </w:tcPr>
          <w:p w14:paraId="74AB490D" w14:textId="5E25D95C" w:rsidR="00875C82" w:rsidRPr="00875C82" w:rsidRDefault="00875C82" w:rsidP="00E1111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Systems to ensure that all care workers (including contractors and volunteers) are aware of and discharge their responsibilities in the process of preventing and controlling infection.</w:t>
            </w:r>
          </w:p>
        </w:tc>
      </w:tr>
      <w:tr w:rsidR="00875C82" w:rsidRPr="00875C82" w14:paraId="6AB81EE5" w14:textId="77777777" w:rsidTr="00875C82">
        <w:tc>
          <w:tcPr>
            <w:cnfStyle w:val="001000000000" w:firstRow="0" w:lastRow="0" w:firstColumn="1" w:lastColumn="0" w:oddVBand="0" w:evenVBand="0" w:oddHBand="0" w:evenHBand="0" w:firstRowFirstColumn="0" w:firstRowLastColumn="0" w:lastRowFirstColumn="0" w:lastRowLastColumn="0"/>
            <w:tcW w:w="1838" w:type="dxa"/>
          </w:tcPr>
          <w:p w14:paraId="2F02643A" w14:textId="0E26E8F3" w:rsidR="00875C82" w:rsidRPr="00875C82" w:rsidRDefault="00875C82" w:rsidP="00E11118">
            <w:pPr>
              <w:rPr>
                <w:color w:val="000000" w:themeColor="text1"/>
                <w:sz w:val="20"/>
                <w:szCs w:val="20"/>
              </w:rPr>
            </w:pPr>
            <w:r w:rsidRPr="00875C82">
              <w:rPr>
                <w:color w:val="000000" w:themeColor="text1"/>
                <w:sz w:val="20"/>
                <w:szCs w:val="20"/>
              </w:rPr>
              <w:t>Criterion 7</w:t>
            </w:r>
          </w:p>
        </w:tc>
        <w:tc>
          <w:tcPr>
            <w:tcW w:w="7178" w:type="dxa"/>
          </w:tcPr>
          <w:p w14:paraId="09CBCE5B" w14:textId="42FF31A9" w:rsidR="00875C82" w:rsidRPr="00875C82" w:rsidRDefault="00875C82" w:rsidP="00E1111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Provide or secure adequate isolation facilities.</w:t>
            </w:r>
          </w:p>
        </w:tc>
      </w:tr>
      <w:tr w:rsidR="00875C82" w:rsidRPr="00875C82" w14:paraId="41CDE650" w14:textId="77777777" w:rsidTr="00875C82">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tcPr>
          <w:p w14:paraId="63F4E817" w14:textId="5A78D943" w:rsidR="00875C82" w:rsidRPr="00875C82" w:rsidRDefault="00875C82" w:rsidP="00E11118">
            <w:pPr>
              <w:rPr>
                <w:color w:val="000000" w:themeColor="text1"/>
                <w:sz w:val="20"/>
                <w:szCs w:val="20"/>
              </w:rPr>
            </w:pPr>
            <w:r w:rsidRPr="00875C82">
              <w:rPr>
                <w:color w:val="000000" w:themeColor="text1"/>
                <w:sz w:val="20"/>
                <w:szCs w:val="20"/>
              </w:rPr>
              <w:t>Criterion 8</w:t>
            </w:r>
          </w:p>
        </w:tc>
        <w:tc>
          <w:tcPr>
            <w:tcW w:w="7178" w:type="dxa"/>
            <w:shd w:val="clear" w:color="auto" w:fill="C6D9F1" w:themeFill="text2" w:themeFillTint="33"/>
          </w:tcPr>
          <w:p w14:paraId="4578AE92" w14:textId="379B629B" w:rsidR="00875C82" w:rsidRPr="00875C82" w:rsidRDefault="00875C82" w:rsidP="00875C82">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Secure adequate access to laboratory support as appropriate</w:t>
            </w:r>
          </w:p>
        </w:tc>
      </w:tr>
      <w:tr w:rsidR="00875C82" w:rsidRPr="00875C82" w14:paraId="1B2C60B3" w14:textId="77777777" w:rsidTr="00875C82">
        <w:tc>
          <w:tcPr>
            <w:cnfStyle w:val="001000000000" w:firstRow="0" w:lastRow="0" w:firstColumn="1" w:lastColumn="0" w:oddVBand="0" w:evenVBand="0" w:oddHBand="0" w:evenHBand="0" w:firstRowFirstColumn="0" w:firstRowLastColumn="0" w:lastRowFirstColumn="0" w:lastRowLastColumn="0"/>
            <w:tcW w:w="1838" w:type="dxa"/>
          </w:tcPr>
          <w:p w14:paraId="2C7F3FAD" w14:textId="5C5CEBB3" w:rsidR="00875C82" w:rsidRPr="00875C82" w:rsidRDefault="00875C82" w:rsidP="00E11118">
            <w:pPr>
              <w:rPr>
                <w:color w:val="000000" w:themeColor="text1"/>
                <w:sz w:val="20"/>
                <w:szCs w:val="20"/>
              </w:rPr>
            </w:pPr>
            <w:r w:rsidRPr="00875C82">
              <w:rPr>
                <w:color w:val="000000" w:themeColor="text1"/>
                <w:sz w:val="20"/>
                <w:szCs w:val="20"/>
              </w:rPr>
              <w:t>Criterion 9</w:t>
            </w:r>
          </w:p>
        </w:tc>
        <w:tc>
          <w:tcPr>
            <w:tcW w:w="7178" w:type="dxa"/>
          </w:tcPr>
          <w:p w14:paraId="28BAA3D8" w14:textId="408662FD" w:rsidR="00875C82" w:rsidRPr="00875C82" w:rsidRDefault="00875C82" w:rsidP="00E1111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Have and adhere to policies, designed for the individual’s care and provider organisations that will help to prevent and control infections.</w:t>
            </w:r>
          </w:p>
        </w:tc>
      </w:tr>
      <w:tr w:rsidR="00875C82" w:rsidRPr="00875C82" w14:paraId="7F87375D" w14:textId="77777777" w:rsidTr="00875C82">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tcPr>
          <w:p w14:paraId="47CD8B68" w14:textId="0EF4205A" w:rsidR="00875C82" w:rsidRPr="00875C82" w:rsidRDefault="00875C82" w:rsidP="00E11118">
            <w:pPr>
              <w:rPr>
                <w:color w:val="000000" w:themeColor="text1"/>
                <w:sz w:val="20"/>
                <w:szCs w:val="20"/>
              </w:rPr>
            </w:pPr>
            <w:r w:rsidRPr="00875C82">
              <w:rPr>
                <w:color w:val="000000" w:themeColor="text1"/>
                <w:sz w:val="20"/>
                <w:szCs w:val="20"/>
              </w:rPr>
              <w:t xml:space="preserve">Criterion 10 </w:t>
            </w:r>
          </w:p>
        </w:tc>
        <w:tc>
          <w:tcPr>
            <w:tcW w:w="7178" w:type="dxa"/>
            <w:shd w:val="clear" w:color="auto" w:fill="C6D9F1" w:themeFill="text2" w:themeFillTint="33"/>
          </w:tcPr>
          <w:p w14:paraId="3369DE70" w14:textId="620AF9F0" w:rsidR="00875C82" w:rsidRPr="00875C82" w:rsidRDefault="00875C82" w:rsidP="00E1111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75C82">
              <w:rPr>
                <w:color w:val="000000" w:themeColor="text1"/>
                <w:sz w:val="20"/>
                <w:szCs w:val="20"/>
              </w:rPr>
              <w:t>Providers have a system in place to manage the occupational health needs and obligations of staff in relation to infection</w:t>
            </w:r>
          </w:p>
        </w:tc>
      </w:tr>
    </w:tbl>
    <w:p w14:paraId="428537F8" w14:textId="77777777" w:rsidR="00875C82" w:rsidRDefault="00875C82" w:rsidP="00875C82">
      <w:pPr>
        <w:rPr>
          <w:color w:val="000000" w:themeColor="text1"/>
          <w:sz w:val="22"/>
        </w:rPr>
      </w:pPr>
    </w:p>
    <w:p w14:paraId="38459D9C" w14:textId="59D7AFEF" w:rsidR="00360E68" w:rsidRDefault="00E50F0B" w:rsidP="00875C82">
      <w:pPr>
        <w:rPr>
          <w:rFonts w:eastAsiaTheme="minorHAnsi" w:cs="Arial"/>
          <w:b/>
          <w:bCs/>
          <w:kern w:val="2"/>
          <w:sz w:val="22"/>
          <w14:ligatures w14:val="standardContextual"/>
        </w:rPr>
      </w:pPr>
      <w:r w:rsidRPr="00D906CE">
        <w:rPr>
          <w:rFonts w:eastAsiaTheme="minorHAnsi" w:cs="Arial"/>
          <w:b/>
          <w:bCs/>
          <w:kern w:val="2"/>
          <w:sz w:val="22"/>
          <w14:ligatures w14:val="standardContextual"/>
        </w:rPr>
        <w:t>Key Achievements 2022</w:t>
      </w:r>
      <w:r w:rsidR="00191F8E" w:rsidRPr="00D906CE">
        <w:rPr>
          <w:rFonts w:eastAsiaTheme="minorHAnsi" w:cs="Arial"/>
          <w:b/>
          <w:bCs/>
          <w:kern w:val="2"/>
          <w:sz w:val="22"/>
          <w14:ligatures w14:val="standardContextual"/>
        </w:rPr>
        <w:t>/</w:t>
      </w:r>
      <w:r w:rsidRPr="00D906CE">
        <w:rPr>
          <w:rFonts w:eastAsiaTheme="minorHAnsi" w:cs="Arial"/>
          <w:b/>
          <w:bCs/>
          <w:kern w:val="2"/>
          <w:sz w:val="22"/>
          <w14:ligatures w14:val="standardContextual"/>
        </w:rPr>
        <w:t>23</w:t>
      </w:r>
    </w:p>
    <w:p w14:paraId="546FDB48" w14:textId="77777777" w:rsidR="0058054A" w:rsidRPr="00875C82" w:rsidRDefault="0058054A" w:rsidP="00875C82">
      <w:pPr>
        <w:rPr>
          <w:color w:val="000000" w:themeColor="text1"/>
          <w:sz w:val="20"/>
          <w:szCs w:val="20"/>
        </w:rPr>
      </w:pPr>
    </w:p>
    <w:p w14:paraId="17E22525" w14:textId="567D95FE" w:rsidR="00360E68" w:rsidRPr="006F018B" w:rsidRDefault="00893B19" w:rsidP="009D6D0B">
      <w:pPr>
        <w:numPr>
          <w:ilvl w:val="0"/>
          <w:numId w:val="34"/>
        </w:numPr>
        <w:spacing w:before="0" w:after="200"/>
        <w:contextualSpacing/>
        <w:rPr>
          <w:rFonts w:eastAsiaTheme="minorHAnsi" w:cs="Arial"/>
          <w:kern w:val="2"/>
          <w:sz w:val="20"/>
          <w:szCs w:val="20"/>
          <w14:ligatures w14:val="standardContextual"/>
        </w:rPr>
      </w:pPr>
      <w:r w:rsidRPr="006F018B">
        <w:rPr>
          <w:rFonts w:eastAsiaTheme="minorHAnsi" w:cs="Arial"/>
          <w:kern w:val="2"/>
          <w:sz w:val="20"/>
          <w:szCs w:val="20"/>
          <w14:ligatures w14:val="standardContextual"/>
        </w:rPr>
        <w:t xml:space="preserve">We have </w:t>
      </w:r>
      <w:r w:rsidR="00151F39" w:rsidRPr="006F018B">
        <w:rPr>
          <w:rFonts w:eastAsiaTheme="minorHAnsi" w:cs="Arial"/>
          <w:kern w:val="2"/>
          <w:sz w:val="20"/>
          <w:szCs w:val="20"/>
          <w14:ligatures w14:val="standardContextual"/>
        </w:rPr>
        <w:t>created</w:t>
      </w:r>
      <w:r w:rsidRPr="006F018B">
        <w:rPr>
          <w:rFonts w:eastAsiaTheme="minorHAnsi" w:cs="Arial"/>
          <w:kern w:val="2"/>
          <w:sz w:val="20"/>
          <w:szCs w:val="20"/>
          <w14:ligatures w14:val="standardContextual"/>
        </w:rPr>
        <w:t xml:space="preserve"> </w:t>
      </w:r>
      <w:proofErr w:type="gramStart"/>
      <w:r w:rsidRPr="006F018B">
        <w:rPr>
          <w:rFonts w:eastAsiaTheme="minorHAnsi" w:cs="Arial"/>
          <w:kern w:val="2"/>
          <w:sz w:val="20"/>
          <w:szCs w:val="20"/>
          <w14:ligatures w14:val="standardContextual"/>
        </w:rPr>
        <w:t>a number of</w:t>
      </w:r>
      <w:proofErr w:type="gramEnd"/>
      <w:r w:rsidRPr="006F018B">
        <w:rPr>
          <w:rFonts w:eastAsiaTheme="minorHAnsi" w:cs="Arial"/>
          <w:kern w:val="2"/>
          <w:sz w:val="20"/>
          <w:szCs w:val="20"/>
          <w14:ligatures w14:val="standardContextual"/>
        </w:rPr>
        <w:t xml:space="preserve"> new roles in the IPC team this year. We</w:t>
      </w:r>
      <w:r w:rsidR="00E50F0B" w:rsidRPr="006F018B">
        <w:rPr>
          <w:rFonts w:eastAsiaTheme="minorHAnsi" w:cs="Arial"/>
          <w:kern w:val="2"/>
          <w:sz w:val="20"/>
          <w:szCs w:val="20"/>
          <w14:ligatures w14:val="standardContextual"/>
        </w:rPr>
        <w:t xml:space="preserve"> recruited a 1.0 WTE B5 Surgical Site Surveillance Practitioner which has enabled us to expand the surgical site surveillance service and collaborate with the </w:t>
      </w:r>
      <w:r w:rsidR="004959C8" w:rsidRPr="006F018B">
        <w:rPr>
          <w:rFonts w:eastAsiaTheme="minorHAnsi" w:cs="Arial"/>
          <w:kern w:val="2"/>
          <w:sz w:val="20"/>
          <w:szCs w:val="20"/>
          <w14:ligatures w14:val="standardContextual"/>
        </w:rPr>
        <w:t>Multi-Disciplinary Team (</w:t>
      </w:r>
      <w:r w:rsidR="00E50F0B" w:rsidRPr="006F018B">
        <w:rPr>
          <w:rFonts w:eastAsiaTheme="minorHAnsi" w:cs="Arial"/>
          <w:kern w:val="2"/>
          <w:sz w:val="20"/>
          <w:szCs w:val="20"/>
          <w14:ligatures w14:val="standardContextual"/>
        </w:rPr>
        <w:t>MDT</w:t>
      </w:r>
      <w:r w:rsidR="004959C8" w:rsidRPr="006F018B">
        <w:rPr>
          <w:rFonts w:eastAsiaTheme="minorHAnsi" w:cs="Arial"/>
          <w:kern w:val="2"/>
          <w:sz w:val="20"/>
          <w:szCs w:val="20"/>
          <w14:ligatures w14:val="standardContextual"/>
        </w:rPr>
        <w:t>)</w:t>
      </w:r>
      <w:r w:rsidR="00E50F0B" w:rsidRPr="006F018B">
        <w:rPr>
          <w:rFonts w:eastAsiaTheme="minorHAnsi" w:cs="Arial"/>
          <w:kern w:val="2"/>
          <w:sz w:val="20"/>
          <w:szCs w:val="20"/>
          <w14:ligatures w14:val="standardContextual"/>
        </w:rPr>
        <w:t xml:space="preserve"> to promote prevention of surgical site infection.</w:t>
      </w:r>
      <w:r w:rsidR="00360E68" w:rsidRPr="006F018B">
        <w:rPr>
          <w:rFonts w:eastAsiaTheme="minorHAnsi" w:cs="Arial"/>
          <w:kern w:val="2"/>
          <w:sz w:val="20"/>
          <w:szCs w:val="20"/>
          <w14:ligatures w14:val="standardContextual"/>
        </w:rPr>
        <w:t xml:space="preserve">  We also secured a position for a B2 Support Secretary who was recruited in November 2022; this role has provided the IPC team with much needed administrative support.</w:t>
      </w:r>
      <w:r w:rsidRPr="006F018B">
        <w:rPr>
          <w:rFonts w:eastAsiaTheme="minorHAnsi" w:cs="Arial"/>
          <w:kern w:val="2"/>
          <w:sz w:val="20"/>
          <w:szCs w:val="20"/>
          <w14:ligatures w14:val="standardContextual"/>
        </w:rPr>
        <w:t xml:space="preserve">  </w:t>
      </w:r>
      <w:r w:rsidR="00E50F0B" w:rsidRPr="006F018B">
        <w:rPr>
          <w:rFonts w:eastAsiaTheme="minorHAnsi" w:cs="Arial"/>
          <w:kern w:val="2"/>
          <w:sz w:val="20"/>
          <w:szCs w:val="20"/>
          <w14:ligatures w14:val="standardContextual"/>
        </w:rPr>
        <w:t>We recruited a 1.0 WTE B3 IPC Support Worker (IPCSW) who has worked hard to improve Trust compliance to hand hygiene practical competency assessments</w:t>
      </w:r>
      <w:r w:rsidR="00CE217E">
        <w:rPr>
          <w:rFonts w:eastAsiaTheme="minorHAnsi" w:cs="Arial"/>
          <w:kern w:val="2"/>
          <w:sz w:val="20"/>
          <w:szCs w:val="20"/>
          <w14:ligatures w14:val="standardContextual"/>
        </w:rPr>
        <w:t>.</w:t>
      </w:r>
      <w:r w:rsidR="00E50F0B" w:rsidRPr="006F018B">
        <w:rPr>
          <w:rFonts w:eastAsiaTheme="minorHAnsi" w:cs="Arial"/>
          <w:kern w:val="2"/>
          <w:sz w:val="20"/>
          <w:szCs w:val="20"/>
          <w14:ligatures w14:val="standardContextual"/>
        </w:rPr>
        <w:t xml:space="preserve"> The IPCSW role has developed throughout the year to include auditing and taking part in project work to promote IPC across the Trust.</w:t>
      </w:r>
      <w:r w:rsidR="00360E68" w:rsidRPr="006F018B">
        <w:rPr>
          <w:rFonts w:eastAsiaTheme="minorHAnsi" w:cs="Arial"/>
          <w:kern w:val="2"/>
          <w:sz w:val="20"/>
          <w:szCs w:val="20"/>
          <w14:ligatures w14:val="standardContextual"/>
        </w:rPr>
        <w:t xml:space="preserve">  Hand hygiene competencies are now recorded on </w:t>
      </w:r>
      <w:r w:rsidR="004959C8" w:rsidRPr="006F018B">
        <w:rPr>
          <w:rFonts w:eastAsiaTheme="minorHAnsi" w:cs="Arial"/>
          <w:kern w:val="2"/>
          <w:sz w:val="20"/>
          <w:szCs w:val="20"/>
          <w14:ligatures w14:val="standardContextual"/>
        </w:rPr>
        <w:t>the Electronic Staff Record (</w:t>
      </w:r>
      <w:r w:rsidR="00360E68" w:rsidRPr="006F018B">
        <w:rPr>
          <w:rFonts w:eastAsiaTheme="minorHAnsi" w:cs="Arial"/>
          <w:kern w:val="2"/>
          <w:sz w:val="20"/>
          <w:szCs w:val="20"/>
          <w14:ligatures w14:val="standardContextual"/>
        </w:rPr>
        <w:t>ESR</w:t>
      </w:r>
      <w:r w:rsidR="004959C8" w:rsidRPr="006F018B">
        <w:rPr>
          <w:rFonts w:eastAsiaTheme="minorHAnsi" w:cs="Arial"/>
          <w:kern w:val="2"/>
          <w:sz w:val="20"/>
          <w:szCs w:val="20"/>
          <w14:ligatures w14:val="standardContextual"/>
        </w:rPr>
        <w:t>)</w:t>
      </w:r>
      <w:r w:rsidR="00360E68" w:rsidRPr="006F018B">
        <w:rPr>
          <w:rFonts w:eastAsiaTheme="minorHAnsi" w:cs="Arial"/>
          <w:kern w:val="2"/>
          <w:sz w:val="20"/>
          <w:szCs w:val="20"/>
          <w14:ligatures w14:val="standardContextual"/>
        </w:rPr>
        <w:t xml:space="preserve"> which enables the Trust to monitor compliance </w:t>
      </w:r>
      <w:r w:rsidRPr="006F018B">
        <w:rPr>
          <w:rFonts w:eastAsiaTheme="minorHAnsi" w:cs="Arial"/>
          <w:kern w:val="2"/>
          <w:sz w:val="20"/>
          <w:szCs w:val="20"/>
          <w14:ligatures w14:val="standardContextual"/>
        </w:rPr>
        <w:t>to the Trust target.</w:t>
      </w:r>
    </w:p>
    <w:p w14:paraId="04739F26" w14:textId="77777777" w:rsidR="00893B19" w:rsidRPr="006F018B" w:rsidRDefault="00893B19" w:rsidP="00191F8E">
      <w:pPr>
        <w:spacing w:before="0" w:after="200"/>
        <w:ind w:left="720"/>
        <w:contextualSpacing/>
        <w:rPr>
          <w:rFonts w:eastAsiaTheme="minorHAnsi" w:cs="Arial"/>
          <w:kern w:val="2"/>
          <w:sz w:val="20"/>
          <w:szCs w:val="20"/>
          <w14:ligatures w14:val="standardContextual"/>
        </w:rPr>
      </w:pPr>
    </w:p>
    <w:p w14:paraId="1E560745" w14:textId="72CE4995" w:rsidR="00CE217E" w:rsidRDefault="00360E68" w:rsidP="00CE217E">
      <w:pPr>
        <w:numPr>
          <w:ilvl w:val="0"/>
          <w:numId w:val="34"/>
        </w:numPr>
        <w:spacing w:before="0" w:after="200"/>
        <w:contextualSpacing/>
        <w:rPr>
          <w:rFonts w:eastAsiaTheme="minorHAnsi" w:cs="Arial"/>
          <w:kern w:val="2"/>
          <w:sz w:val="20"/>
          <w:szCs w:val="20"/>
          <w14:ligatures w14:val="standardContextual"/>
        </w:rPr>
      </w:pPr>
      <w:r w:rsidRPr="006F018B">
        <w:rPr>
          <w:rFonts w:eastAsiaTheme="minorHAnsi" w:cs="Arial"/>
          <w:kern w:val="2"/>
          <w:sz w:val="20"/>
          <w:szCs w:val="20"/>
          <w14:ligatures w14:val="standardContextual"/>
        </w:rPr>
        <w:t>The Trust ha</w:t>
      </w:r>
      <w:r w:rsidR="00893B19" w:rsidRPr="006F018B">
        <w:rPr>
          <w:rFonts w:eastAsiaTheme="minorHAnsi" w:cs="Arial"/>
          <w:kern w:val="2"/>
          <w:sz w:val="20"/>
          <w:szCs w:val="20"/>
          <w14:ligatures w14:val="standardContextual"/>
        </w:rPr>
        <w:t>d</w:t>
      </w:r>
      <w:r w:rsidRPr="006F018B">
        <w:rPr>
          <w:rFonts w:eastAsiaTheme="minorHAnsi" w:cs="Arial"/>
          <w:kern w:val="2"/>
          <w:sz w:val="20"/>
          <w:szCs w:val="20"/>
          <w14:ligatures w14:val="standardContextual"/>
        </w:rPr>
        <w:t xml:space="preserve"> a target of zero for MRSA </w:t>
      </w:r>
      <w:proofErr w:type="spellStart"/>
      <w:r w:rsidRPr="006F018B">
        <w:rPr>
          <w:rFonts w:eastAsiaTheme="minorHAnsi" w:cs="Arial"/>
          <w:kern w:val="2"/>
          <w:sz w:val="20"/>
          <w:szCs w:val="20"/>
          <w14:ligatures w14:val="standardContextual"/>
        </w:rPr>
        <w:t>bactereamia</w:t>
      </w:r>
      <w:proofErr w:type="spellEnd"/>
      <w:r w:rsidRPr="006F018B">
        <w:rPr>
          <w:rFonts w:eastAsiaTheme="minorHAnsi" w:cs="Arial"/>
          <w:kern w:val="2"/>
          <w:sz w:val="20"/>
          <w:szCs w:val="20"/>
          <w14:ligatures w14:val="standardContextual"/>
        </w:rPr>
        <w:t xml:space="preserve"> which we have successfully maintained for </w:t>
      </w:r>
      <w:r w:rsidR="00893B19" w:rsidRPr="006F018B">
        <w:rPr>
          <w:rFonts w:eastAsiaTheme="minorHAnsi" w:cs="Arial"/>
          <w:kern w:val="2"/>
          <w:sz w:val="20"/>
          <w:szCs w:val="20"/>
          <w14:ligatures w14:val="standardContextual"/>
        </w:rPr>
        <w:t>2022-23.</w:t>
      </w:r>
    </w:p>
    <w:p w14:paraId="1C9F5F7D" w14:textId="77777777" w:rsidR="00CE217E" w:rsidRPr="00CE217E" w:rsidRDefault="00CE217E" w:rsidP="00CE217E">
      <w:pPr>
        <w:spacing w:before="0" w:after="200"/>
        <w:contextualSpacing/>
        <w:rPr>
          <w:rFonts w:eastAsiaTheme="minorHAnsi" w:cs="Arial"/>
          <w:kern w:val="2"/>
          <w:sz w:val="20"/>
          <w:szCs w:val="20"/>
          <w14:ligatures w14:val="standardContextual"/>
        </w:rPr>
      </w:pPr>
    </w:p>
    <w:p w14:paraId="0566DAEC" w14:textId="2B89580A" w:rsidR="00E50F0B" w:rsidRDefault="00E50F0B" w:rsidP="00191F8E">
      <w:pPr>
        <w:numPr>
          <w:ilvl w:val="0"/>
          <w:numId w:val="34"/>
        </w:numPr>
        <w:spacing w:before="0" w:after="200"/>
        <w:contextualSpacing/>
        <w:rPr>
          <w:rFonts w:eastAsiaTheme="minorHAnsi" w:cs="Arial"/>
          <w:kern w:val="2"/>
          <w:sz w:val="20"/>
          <w:szCs w:val="20"/>
          <w14:ligatures w14:val="standardContextual"/>
        </w:rPr>
      </w:pPr>
      <w:r w:rsidRPr="00CE217E">
        <w:rPr>
          <w:rFonts w:eastAsiaTheme="minorHAnsi" w:cs="Arial"/>
          <w:kern w:val="2"/>
          <w:sz w:val="20"/>
          <w:szCs w:val="20"/>
          <w14:ligatures w14:val="standardContextual"/>
        </w:rPr>
        <w:t>To strengthen our auditing process, we implemented a structured auditing programme with escalation process in place.  Common themes for non-compliance are now easily identified</w:t>
      </w:r>
      <w:r w:rsidR="00893B19" w:rsidRPr="00CE217E">
        <w:rPr>
          <w:rFonts w:eastAsiaTheme="minorHAnsi" w:cs="Arial"/>
          <w:kern w:val="2"/>
          <w:sz w:val="20"/>
          <w:szCs w:val="20"/>
          <w14:ligatures w14:val="standardContextual"/>
        </w:rPr>
        <w:t xml:space="preserve"> using an internal software auditing system</w:t>
      </w:r>
      <w:r w:rsidRPr="00CE217E">
        <w:rPr>
          <w:rFonts w:eastAsiaTheme="minorHAnsi" w:cs="Arial"/>
          <w:kern w:val="2"/>
          <w:sz w:val="20"/>
          <w:szCs w:val="20"/>
          <w14:ligatures w14:val="standardContextual"/>
        </w:rPr>
        <w:t xml:space="preserve"> so that a targeted approach to improvement can be made</w:t>
      </w:r>
      <w:r w:rsidR="00CE217E" w:rsidRPr="00CE217E">
        <w:rPr>
          <w:rFonts w:eastAsiaTheme="minorHAnsi" w:cs="Arial"/>
          <w:kern w:val="2"/>
          <w:sz w:val="20"/>
          <w:szCs w:val="20"/>
          <w14:ligatures w14:val="standardContextual"/>
        </w:rPr>
        <w:t>.</w:t>
      </w:r>
    </w:p>
    <w:p w14:paraId="580670C3" w14:textId="77777777" w:rsidR="00CE217E" w:rsidRPr="00CE217E" w:rsidRDefault="00CE217E" w:rsidP="00CE217E">
      <w:pPr>
        <w:spacing w:before="0" w:after="200"/>
        <w:contextualSpacing/>
        <w:rPr>
          <w:rFonts w:eastAsiaTheme="minorHAnsi" w:cs="Arial"/>
          <w:kern w:val="2"/>
          <w:sz w:val="20"/>
          <w:szCs w:val="20"/>
          <w14:ligatures w14:val="standardContextual"/>
        </w:rPr>
      </w:pPr>
    </w:p>
    <w:p w14:paraId="55E937D2" w14:textId="77777777" w:rsidR="00E50F0B" w:rsidRDefault="00E50F0B" w:rsidP="009D6D0B">
      <w:pPr>
        <w:numPr>
          <w:ilvl w:val="0"/>
          <w:numId w:val="34"/>
        </w:numPr>
        <w:spacing w:before="0" w:after="200"/>
        <w:contextualSpacing/>
        <w:rPr>
          <w:rFonts w:eastAsiaTheme="minorHAnsi" w:cs="Arial"/>
          <w:kern w:val="2"/>
          <w:sz w:val="20"/>
          <w:szCs w:val="20"/>
          <w14:ligatures w14:val="standardContextual"/>
        </w:rPr>
      </w:pPr>
      <w:r w:rsidRPr="006F018B">
        <w:rPr>
          <w:rFonts w:eastAsiaTheme="minorHAnsi" w:cs="Arial"/>
          <w:kern w:val="2"/>
          <w:sz w:val="20"/>
          <w:szCs w:val="20"/>
          <w14:ligatures w14:val="standardContextual"/>
        </w:rPr>
        <w:t xml:space="preserve">The B6 IPC nurse completed a </w:t>
      </w:r>
      <w:proofErr w:type="gramStart"/>
      <w:r w:rsidRPr="006F018B">
        <w:rPr>
          <w:rFonts w:eastAsiaTheme="minorHAnsi" w:cs="Arial"/>
          <w:kern w:val="2"/>
          <w:sz w:val="20"/>
          <w:szCs w:val="20"/>
          <w14:ligatures w14:val="standardContextual"/>
        </w:rPr>
        <w:t>Master’s</w:t>
      </w:r>
      <w:proofErr w:type="gramEnd"/>
      <w:r w:rsidRPr="006F018B">
        <w:rPr>
          <w:rFonts w:eastAsiaTheme="minorHAnsi" w:cs="Arial"/>
          <w:kern w:val="2"/>
          <w:sz w:val="20"/>
          <w:szCs w:val="20"/>
          <w14:ligatures w14:val="standardContextual"/>
        </w:rPr>
        <w:t xml:space="preserve"> course through Birmingham City University which has provided a foundation of theory to underpin practice.</w:t>
      </w:r>
    </w:p>
    <w:p w14:paraId="2561B8FC" w14:textId="77777777" w:rsidR="00EF3F3A" w:rsidRDefault="00EF3F3A" w:rsidP="00EF3F3A">
      <w:pPr>
        <w:pStyle w:val="ListParagraph"/>
        <w:rPr>
          <w:rFonts w:eastAsiaTheme="minorHAnsi" w:cs="Arial"/>
          <w:kern w:val="2"/>
          <w:sz w:val="20"/>
          <w:szCs w:val="20"/>
          <w14:ligatures w14:val="standardContextual"/>
        </w:rPr>
      </w:pPr>
    </w:p>
    <w:p w14:paraId="01689D28" w14:textId="5765982A" w:rsidR="00EF3F3A" w:rsidRPr="00C03043" w:rsidRDefault="00C03043" w:rsidP="00C03043">
      <w:pPr>
        <w:pStyle w:val="ListParagraph"/>
        <w:numPr>
          <w:ilvl w:val="0"/>
          <w:numId w:val="34"/>
        </w:numPr>
        <w:jc w:val="both"/>
        <w:rPr>
          <w:rFonts w:cs="Arial"/>
          <w:sz w:val="20"/>
          <w:szCs w:val="18"/>
        </w:rPr>
      </w:pPr>
      <w:r w:rsidRPr="00C03043">
        <w:rPr>
          <w:rFonts w:cs="Arial"/>
          <w:sz w:val="20"/>
          <w:szCs w:val="18"/>
        </w:rPr>
        <w:t xml:space="preserve">Following an </w:t>
      </w:r>
      <w:r>
        <w:rPr>
          <w:rFonts w:cs="Arial"/>
          <w:sz w:val="20"/>
          <w:szCs w:val="18"/>
        </w:rPr>
        <w:t xml:space="preserve">outbreak of </w:t>
      </w:r>
      <w:r w:rsidRPr="00C03043">
        <w:rPr>
          <w:rFonts w:cs="Arial"/>
          <w:sz w:val="20"/>
          <w:szCs w:val="18"/>
        </w:rPr>
        <w:t>MRSA during summer 2021, which involved hospital acquired MRSA for eight patients, the Trust continued to work hard to implement changes outlined by NHS England.</w:t>
      </w:r>
      <w:r w:rsidR="00FF0D32">
        <w:rPr>
          <w:rFonts w:cs="Arial"/>
          <w:sz w:val="20"/>
          <w:szCs w:val="18"/>
        </w:rPr>
        <w:t xml:space="preserve">  W</w:t>
      </w:r>
      <w:r w:rsidR="00CC1B6B">
        <w:rPr>
          <w:rFonts w:cs="Arial"/>
          <w:sz w:val="20"/>
          <w:szCs w:val="18"/>
        </w:rPr>
        <w:t xml:space="preserve">e acknowledge that the outbreak </w:t>
      </w:r>
      <w:r w:rsidR="00FF0D32">
        <w:rPr>
          <w:rFonts w:cs="Arial"/>
          <w:sz w:val="20"/>
          <w:szCs w:val="18"/>
        </w:rPr>
        <w:t xml:space="preserve">was caused by several failures in our </w:t>
      </w:r>
      <w:proofErr w:type="gramStart"/>
      <w:r w:rsidR="00FF0D32">
        <w:rPr>
          <w:rFonts w:cs="Arial"/>
          <w:sz w:val="20"/>
          <w:szCs w:val="18"/>
        </w:rPr>
        <w:t>processes</w:t>
      </w:r>
      <w:proofErr w:type="gramEnd"/>
      <w:r w:rsidR="00FF0D32">
        <w:rPr>
          <w:rFonts w:cs="Arial"/>
          <w:sz w:val="20"/>
          <w:szCs w:val="18"/>
        </w:rPr>
        <w:t xml:space="preserve"> and</w:t>
      </w:r>
      <w:r w:rsidR="00CC1B6B">
        <w:rPr>
          <w:rFonts w:cs="Arial"/>
          <w:sz w:val="20"/>
          <w:szCs w:val="18"/>
        </w:rPr>
        <w:t xml:space="preserve"> we have made the most of the opportunity to improve our estate, and practices; to ensure that IPC remains high a high profile across the Trust.</w:t>
      </w:r>
    </w:p>
    <w:p w14:paraId="70341312" w14:textId="77777777" w:rsidR="00191F8E" w:rsidRPr="006F018B" w:rsidRDefault="00191F8E" w:rsidP="00191F8E">
      <w:pPr>
        <w:spacing w:before="0" w:after="200"/>
        <w:contextualSpacing/>
        <w:rPr>
          <w:rFonts w:eastAsiaTheme="minorHAnsi" w:cs="Arial"/>
          <w:color w:val="0070C0"/>
          <w:kern w:val="2"/>
          <w:sz w:val="20"/>
          <w:szCs w:val="20"/>
          <w14:ligatures w14:val="standardContextual"/>
        </w:rPr>
      </w:pPr>
    </w:p>
    <w:p w14:paraId="021E0BA1" w14:textId="58F84E4E" w:rsidR="00E50F0B" w:rsidRPr="006F018B" w:rsidRDefault="00893B19" w:rsidP="009D6D0B">
      <w:pPr>
        <w:numPr>
          <w:ilvl w:val="0"/>
          <w:numId w:val="34"/>
        </w:numPr>
        <w:spacing w:before="0" w:after="200"/>
        <w:contextualSpacing/>
        <w:rPr>
          <w:rFonts w:eastAsiaTheme="minorHAnsi" w:cs="Arial"/>
          <w:kern w:val="2"/>
          <w:sz w:val="20"/>
          <w:szCs w:val="20"/>
          <w14:ligatures w14:val="standardContextual"/>
        </w:rPr>
      </w:pPr>
      <w:r w:rsidRPr="006F018B">
        <w:rPr>
          <w:rFonts w:eastAsiaTheme="minorHAnsi" w:cs="Arial"/>
          <w:kern w:val="2"/>
          <w:sz w:val="20"/>
          <w:szCs w:val="20"/>
          <w14:ligatures w14:val="standardContextual"/>
        </w:rPr>
        <w:t>The IPC team led an interactive IPC Fayre in collaboration with the Estate &amp; Facilities team</w:t>
      </w:r>
      <w:r w:rsidR="00A34970" w:rsidRPr="006F018B">
        <w:rPr>
          <w:rFonts w:eastAsiaTheme="minorHAnsi" w:cs="Arial"/>
          <w:kern w:val="2"/>
          <w:sz w:val="20"/>
          <w:szCs w:val="20"/>
          <w14:ligatures w14:val="standardContextual"/>
        </w:rPr>
        <w:t xml:space="preserve"> in </w:t>
      </w:r>
      <w:r w:rsidR="00CC1B6B">
        <w:rPr>
          <w:rFonts w:eastAsiaTheme="minorHAnsi" w:cs="Arial"/>
          <w:kern w:val="2"/>
          <w:sz w:val="20"/>
          <w:szCs w:val="20"/>
          <w14:ligatures w14:val="standardContextual"/>
        </w:rPr>
        <w:t>June</w:t>
      </w:r>
      <w:r w:rsidR="00A34970" w:rsidRPr="006F018B">
        <w:rPr>
          <w:rFonts w:eastAsiaTheme="minorHAnsi" w:cs="Arial"/>
          <w:kern w:val="2"/>
          <w:sz w:val="20"/>
          <w:szCs w:val="20"/>
          <w14:ligatures w14:val="standardContextual"/>
        </w:rPr>
        <w:t xml:space="preserve"> </w:t>
      </w:r>
      <w:r w:rsidRPr="006F018B">
        <w:rPr>
          <w:rFonts w:eastAsiaTheme="minorHAnsi" w:cs="Arial"/>
          <w:kern w:val="2"/>
          <w:sz w:val="20"/>
          <w:szCs w:val="20"/>
          <w14:ligatures w14:val="standardContextual"/>
        </w:rPr>
        <w:t xml:space="preserve">2022 with </w:t>
      </w:r>
      <w:r w:rsidR="00A34970" w:rsidRPr="006F018B">
        <w:rPr>
          <w:rFonts w:eastAsiaTheme="minorHAnsi" w:cs="Arial"/>
          <w:kern w:val="2"/>
          <w:sz w:val="20"/>
          <w:szCs w:val="20"/>
          <w14:ligatures w14:val="standardContextual"/>
        </w:rPr>
        <w:t>a</w:t>
      </w:r>
      <w:r w:rsidRPr="006F018B">
        <w:rPr>
          <w:rFonts w:eastAsiaTheme="minorHAnsi" w:cs="Arial"/>
          <w:kern w:val="2"/>
          <w:sz w:val="20"/>
          <w:szCs w:val="20"/>
          <w14:ligatures w14:val="standardContextual"/>
        </w:rPr>
        <w:t xml:space="preserve"> focus </w:t>
      </w:r>
      <w:r w:rsidR="00A34970" w:rsidRPr="006F018B">
        <w:rPr>
          <w:rFonts w:eastAsiaTheme="minorHAnsi" w:cs="Arial"/>
          <w:kern w:val="2"/>
          <w:sz w:val="20"/>
          <w:szCs w:val="20"/>
          <w14:ligatures w14:val="standardContextual"/>
        </w:rPr>
        <w:t>on</w:t>
      </w:r>
      <w:r w:rsidR="00ED3CEB" w:rsidRPr="006F018B">
        <w:rPr>
          <w:rFonts w:eastAsiaTheme="minorHAnsi" w:cs="Arial"/>
          <w:kern w:val="2"/>
          <w:sz w:val="20"/>
          <w:szCs w:val="20"/>
          <w14:ligatures w14:val="standardContextual"/>
        </w:rPr>
        <w:t xml:space="preserve"> standard infection control precautions.  Over 200 staff attended the day and were provided with workshop style training around effective cleaning of the patient environment, including bed cleaning from the bed providers.  As the day was such a success the IPC team plan to repeat the event at least once a year going forward.</w:t>
      </w:r>
    </w:p>
    <w:p w14:paraId="6F0F5F71" w14:textId="77777777" w:rsidR="00E50F0B" w:rsidRPr="006F018B" w:rsidRDefault="00E50F0B" w:rsidP="00191F8E">
      <w:pPr>
        <w:spacing w:before="0" w:after="200"/>
        <w:ind w:left="720"/>
        <w:contextualSpacing/>
        <w:rPr>
          <w:rFonts w:eastAsiaTheme="minorHAnsi" w:cs="Arial"/>
          <w:kern w:val="2"/>
          <w:sz w:val="20"/>
          <w:szCs w:val="20"/>
          <w14:ligatures w14:val="standardContextual"/>
        </w:rPr>
      </w:pPr>
    </w:p>
    <w:p w14:paraId="48BEA86E" w14:textId="7103F99C" w:rsidR="004959C8" w:rsidRDefault="00360E68" w:rsidP="004959C8">
      <w:pPr>
        <w:numPr>
          <w:ilvl w:val="0"/>
          <w:numId w:val="34"/>
        </w:numPr>
        <w:spacing w:before="0" w:after="200"/>
        <w:contextualSpacing/>
        <w:rPr>
          <w:rFonts w:eastAsiaTheme="minorHAnsi" w:cs="Arial"/>
          <w:kern w:val="2"/>
          <w:sz w:val="20"/>
          <w:szCs w:val="20"/>
          <w14:ligatures w14:val="standardContextual"/>
        </w:rPr>
      </w:pPr>
      <w:r w:rsidRPr="006F018B">
        <w:rPr>
          <w:rFonts w:eastAsiaTheme="minorHAnsi" w:cs="Arial"/>
          <w:kern w:val="2"/>
          <w:sz w:val="20"/>
          <w:szCs w:val="20"/>
          <w14:ligatures w14:val="standardContextual"/>
        </w:rPr>
        <w:t>After a series of IPC team away days</w:t>
      </w:r>
      <w:r w:rsidR="00351A8D" w:rsidRPr="006F018B">
        <w:rPr>
          <w:rFonts w:eastAsiaTheme="minorHAnsi" w:cs="Arial"/>
          <w:kern w:val="2"/>
          <w:sz w:val="20"/>
          <w:szCs w:val="20"/>
          <w14:ligatures w14:val="standardContextual"/>
        </w:rPr>
        <w:t>,</w:t>
      </w:r>
      <w:r w:rsidR="004959C8" w:rsidRPr="006F018B">
        <w:rPr>
          <w:rFonts w:eastAsiaTheme="minorHAnsi" w:cs="Arial"/>
          <w:kern w:val="2"/>
          <w:sz w:val="20"/>
          <w:szCs w:val="20"/>
          <w14:ligatures w14:val="standardContextual"/>
        </w:rPr>
        <w:t xml:space="preserve"> we developed our vision for the future of infection prevention</w:t>
      </w:r>
      <w:r w:rsidR="006E1C45" w:rsidRPr="006F018B">
        <w:rPr>
          <w:rFonts w:eastAsiaTheme="minorHAnsi" w:cs="Arial"/>
          <w:kern w:val="2"/>
          <w:sz w:val="20"/>
          <w:szCs w:val="20"/>
          <w14:ligatures w14:val="standardContextual"/>
        </w:rPr>
        <w:t xml:space="preserve"> and control</w:t>
      </w:r>
      <w:r w:rsidR="004959C8" w:rsidRPr="006F018B">
        <w:rPr>
          <w:rFonts w:eastAsiaTheme="minorHAnsi" w:cs="Arial"/>
          <w:kern w:val="2"/>
          <w:sz w:val="20"/>
          <w:szCs w:val="20"/>
          <w14:ligatures w14:val="standardContextual"/>
        </w:rPr>
        <w:t xml:space="preserve"> within our Trust. </w:t>
      </w:r>
      <w:r w:rsidR="0092798E" w:rsidRPr="006F018B">
        <w:rPr>
          <w:rFonts w:eastAsiaTheme="minorHAnsi" w:cs="Arial"/>
          <w:kern w:val="2"/>
          <w:sz w:val="20"/>
          <w:szCs w:val="20"/>
          <w14:ligatures w14:val="standardContextual"/>
        </w:rPr>
        <w:t xml:space="preserve">We presented our journey of improvement and our vision to around 100 members of the ICS at an IPC Summit, which was supported by our </w:t>
      </w:r>
      <w:r w:rsidR="0092798E" w:rsidRPr="006F018B">
        <w:rPr>
          <w:rFonts w:eastAsiaTheme="minorHAnsi" w:cs="Arial"/>
          <w:kern w:val="2"/>
          <w:sz w:val="20"/>
          <w:szCs w:val="20"/>
          <w14:ligatures w14:val="standardContextual"/>
        </w:rPr>
        <w:lastRenderedPageBreak/>
        <w:t>Associate Director for IPC for the Midlands Region.  We worked jointly with SCHT IPC team to align our ambitions and have developed a collaborative approach to our aim to reduce healthcare associated infectio</w:t>
      </w:r>
      <w:r w:rsidR="00EF6A85">
        <w:rPr>
          <w:rFonts w:eastAsiaTheme="minorHAnsi" w:cs="Arial"/>
          <w:kern w:val="2"/>
          <w:sz w:val="20"/>
          <w:szCs w:val="20"/>
          <w14:ligatures w14:val="standardContextual"/>
        </w:rPr>
        <w:t>n</w:t>
      </w:r>
      <w:r w:rsidR="0092798E" w:rsidRPr="006F018B">
        <w:rPr>
          <w:rFonts w:eastAsiaTheme="minorHAnsi" w:cs="Arial"/>
          <w:kern w:val="2"/>
          <w:sz w:val="20"/>
          <w:szCs w:val="20"/>
          <w14:ligatures w14:val="standardContextual"/>
        </w:rPr>
        <w:t>s</w:t>
      </w:r>
      <w:r w:rsidR="00EF6A85">
        <w:rPr>
          <w:rFonts w:eastAsiaTheme="minorHAnsi" w:cs="Arial"/>
          <w:kern w:val="2"/>
          <w:sz w:val="20"/>
          <w:szCs w:val="20"/>
          <w14:ligatures w14:val="standardContextual"/>
        </w:rPr>
        <w:t xml:space="preserve">.  The below graphic shows our drivers which have </w:t>
      </w:r>
      <w:proofErr w:type="spellStart"/>
      <w:proofErr w:type="gramStart"/>
      <w:r w:rsidR="00EF6A85">
        <w:rPr>
          <w:rFonts w:eastAsiaTheme="minorHAnsi" w:cs="Arial"/>
          <w:kern w:val="2"/>
          <w:sz w:val="20"/>
          <w:szCs w:val="20"/>
          <w14:ligatures w14:val="standardContextual"/>
        </w:rPr>
        <w:t>lead</w:t>
      </w:r>
      <w:proofErr w:type="spellEnd"/>
      <w:proofErr w:type="gramEnd"/>
      <w:r w:rsidR="00EF6A85">
        <w:rPr>
          <w:rFonts w:eastAsiaTheme="minorHAnsi" w:cs="Arial"/>
          <w:kern w:val="2"/>
          <w:sz w:val="20"/>
          <w:szCs w:val="20"/>
          <w14:ligatures w14:val="standardContextual"/>
        </w:rPr>
        <w:t xml:space="preserve"> to our ambitions:</w:t>
      </w:r>
    </w:p>
    <w:p w14:paraId="043DE939" w14:textId="7C901C1C" w:rsidR="00EF6A85" w:rsidRPr="00EF6A85" w:rsidRDefault="00E04121" w:rsidP="00EF6A85">
      <w:pPr>
        <w:ind w:left="360"/>
        <w:rPr>
          <w:rFonts w:eastAsiaTheme="minorHAnsi" w:cs="Arial"/>
          <w:sz w:val="20"/>
          <w:szCs w:val="20"/>
        </w:rPr>
      </w:pPr>
      <w:r w:rsidRPr="00EF6A85">
        <w:rPr>
          <w:rFonts w:eastAsiaTheme="minorHAnsi" w:cs="Arial"/>
          <w:noProof/>
          <w:kern w:val="2"/>
          <w:sz w:val="20"/>
          <w:szCs w:val="20"/>
          <w14:ligatures w14:val="standardContextual"/>
        </w:rPr>
        <w:drawing>
          <wp:inline distT="0" distB="0" distL="0" distR="0" wp14:anchorId="3F9351DD" wp14:editId="3D0269B4">
            <wp:extent cx="5411470" cy="3075993"/>
            <wp:effectExtent l="0" t="0" r="0" b="0"/>
            <wp:docPr id="198" name="Picture 198"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diagram of a diagram&#10;&#10;Description automatically generated"/>
                    <pic:cNvPicPr/>
                  </pic:nvPicPr>
                  <pic:blipFill>
                    <a:blip r:embed="rId11"/>
                    <a:stretch>
                      <a:fillRect/>
                    </a:stretch>
                  </pic:blipFill>
                  <pic:spPr>
                    <a:xfrm>
                      <a:off x="0" y="0"/>
                      <a:ext cx="5414329" cy="3077618"/>
                    </a:xfrm>
                    <a:prstGeom prst="rect">
                      <a:avLst/>
                    </a:prstGeom>
                  </pic:spPr>
                </pic:pic>
              </a:graphicData>
            </a:graphic>
          </wp:inline>
        </w:drawing>
      </w:r>
    </w:p>
    <w:p w14:paraId="34715E9E" w14:textId="77777777" w:rsidR="00875C82" w:rsidRDefault="00875C82" w:rsidP="007D4F16">
      <w:pPr>
        <w:rPr>
          <w:b/>
          <w:bCs/>
          <w:szCs w:val="24"/>
        </w:rPr>
      </w:pPr>
    </w:p>
    <w:p w14:paraId="06B4CC4E" w14:textId="3126B16D" w:rsidR="00C559D4" w:rsidRPr="00EF6A85" w:rsidRDefault="00372CA2" w:rsidP="007D4F16">
      <w:pPr>
        <w:rPr>
          <w:b/>
          <w:szCs w:val="24"/>
        </w:rPr>
      </w:pPr>
      <w:r w:rsidRPr="000359FD">
        <w:rPr>
          <w:b/>
          <w:bCs/>
          <w:szCs w:val="24"/>
        </w:rPr>
        <w:t>Criterion 1</w:t>
      </w:r>
      <w:r w:rsidR="00875C82">
        <w:rPr>
          <w:b/>
          <w:bCs/>
          <w:szCs w:val="24"/>
        </w:rPr>
        <w:t>:</w:t>
      </w:r>
      <w:r w:rsidR="00645870" w:rsidRPr="000359FD">
        <w:rPr>
          <w:b/>
          <w:bCs/>
          <w:szCs w:val="24"/>
        </w:rPr>
        <w:t xml:space="preserve"> </w:t>
      </w:r>
      <w:r w:rsidRPr="000359FD">
        <w:rPr>
          <w:b/>
          <w:bCs/>
          <w:szCs w:val="24"/>
        </w:rPr>
        <w:t>Systems to manage and monitor the prevention and control of infection.</w:t>
      </w:r>
      <w:r w:rsidR="00460AE7" w:rsidRPr="008312DA">
        <w:rPr>
          <w:b/>
          <w:szCs w:val="24"/>
        </w:rPr>
        <w:t xml:space="preserve"> </w:t>
      </w:r>
    </w:p>
    <w:p w14:paraId="02DFF089" w14:textId="77777777" w:rsidR="00C559D4" w:rsidRDefault="00C559D4" w:rsidP="007D4F16">
      <w:pPr>
        <w:rPr>
          <w:b/>
          <w:sz w:val="22"/>
        </w:rPr>
      </w:pPr>
    </w:p>
    <w:p w14:paraId="692752DE" w14:textId="610E765E" w:rsidR="004C140E" w:rsidRDefault="009477C1" w:rsidP="007D4F16">
      <w:pPr>
        <w:rPr>
          <w:b/>
          <w:sz w:val="22"/>
        </w:rPr>
      </w:pPr>
      <w:r w:rsidRPr="009A7064">
        <w:rPr>
          <w:b/>
          <w:sz w:val="22"/>
        </w:rPr>
        <w:t>IPC Structure</w:t>
      </w:r>
    </w:p>
    <w:p w14:paraId="7A94BA84" w14:textId="77777777" w:rsidR="00C559D4" w:rsidRDefault="00C559D4" w:rsidP="007D4F16">
      <w:pPr>
        <w:rPr>
          <w:b/>
          <w:sz w:val="22"/>
        </w:rPr>
      </w:pPr>
    </w:p>
    <w:p w14:paraId="241FD529" w14:textId="1694DA9C" w:rsidR="00C559D4" w:rsidRDefault="00C559D4" w:rsidP="007D4F16">
      <w:pPr>
        <w:rPr>
          <w:b/>
          <w:sz w:val="22"/>
        </w:rPr>
      </w:pPr>
      <w:r>
        <w:rPr>
          <w:noProof/>
        </w:rPr>
        <mc:AlternateContent>
          <mc:Choice Requires="wps">
            <w:drawing>
              <wp:anchor distT="0" distB="0" distL="114300" distR="114300" simplePos="0" relativeHeight="251924480" behindDoc="0" locked="0" layoutInCell="1" allowOverlap="1" wp14:anchorId="4BF22593" wp14:editId="53896418">
                <wp:simplePos x="0" y="0"/>
                <wp:positionH relativeFrom="column">
                  <wp:posOffset>1866900</wp:posOffset>
                </wp:positionH>
                <wp:positionV relativeFrom="paragraph">
                  <wp:posOffset>77470</wp:posOffset>
                </wp:positionV>
                <wp:extent cx="2034835" cy="425450"/>
                <wp:effectExtent l="0" t="0" r="22860" b="12700"/>
                <wp:wrapNone/>
                <wp:docPr id="36" name="Rectangle 4"/>
                <wp:cNvGraphicFramePr/>
                <a:graphic xmlns:a="http://schemas.openxmlformats.org/drawingml/2006/main">
                  <a:graphicData uri="http://schemas.microsoft.com/office/word/2010/wordprocessingShape">
                    <wps:wsp>
                      <wps:cNvSpPr/>
                      <wps:spPr>
                        <a:xfrm>
                          <a:off x="0" y="0"/>
                          <a:ext cx="2034835" cy="425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2C24C9" w14:textId="77777777" w:rsidR="00C559D4" w:rsidRDefault="00C559D4" w:rsidP="00C559D4">
                            <w:pPr>
                              <w:jc w:val="center"/>
                              <w:rPr>
                                <w:rFonts w:asciiTheme="minorHAnsi" w:hAnsi="Calibri" w:cstheme="minorBidi"/>
                                <w:color w:val="FFFFFF" w:themeColor="light1"/>
                                <w:kern w:val="24"/>
                                <w:sz w:val="21"/>
                                <w:szCs w:val="21"/>
                              </w:rPr>
                            </w:pPr>
                            <w:r>
                              <w:rPr>
                                <w:rFonts w:asciiTheme="minorHAnsi" w:hAnsi="Calibri" w:cstheme="minorBidi"/>
                                <w:color w:val="FFFFFF" w:themeColor="light1"/>
                                <w:kern w:val="24"/>
                                <w:sz w:val="21"/>
                                <w:szCs w:val="21"/>
                              </w:rPr>
                              <w:t xml:space="preserve">Director for IPC  </w:t>
                            </w:r>
                          </w:p>
                          <w:p w14:paraId="038BFEB3" w14:textId="222C0B0D" w:rsidR="00C559D4" w:rsidRDefault="00C559D4" w:rsidP="00C559D4">
                            <w:pPr>
                              <w:rPr>
                                <w:rFonts w:asciiTheme="minorHAnsi" w:hAnsi="Calibri" w:cstheme="minorBidi"/>
                                <w:color w:val="FFFFFF" w:themeColor="light1"/>
                                <w:kern w:val="24"/>
                                <w:sz w:val="21"/>
                                <w:szCs w:val="21"/>
                              </w:rPr>
                            </w:pPr>
                          </w:p>
                        </w:txbxContent>
                      </wps:txbx>
                      <wps:bodyPr rtlCol="0" anchor="ctr">
                        <a:noAutofit/>
                      </wps:bodyPr>
                    </wps:wsp>
                  </a:graphicData>
                </a:graphic>
                <wp14:sizeRelV relativeFrom="margin">
                  <wp14:pctHeight>0</wp14:pctHeight>
                </wp14:sizeRelV>
              </wp:anchor>
            </w:drawing>
          </mc:Choice>
          <mc:Fallback>
            <w:pict>
              <v:rect w14:anchorId="4BF22593" id="Rectangle 4" o:spid="_x0000_s1026" style="position:absolute;margin-left:147pt;margin-top:6.1pt;width:160.2pt;height:33.5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38g1AEAAPkDAAAOAAAAZHJzL2Uyb0RvYy54bWysU8Fu2zAMvQ/YPwi6L3bSZCiMOMXQYrsM&#10;W7FuH6DIVCxAEgVJjZ2/HyW7zrAOOwzzQSYlvkfyidrfjdawM4So0bV8vao5Ayex0+7U8h/fP767&#10;5Swm4Tph0EHLLxD53eHtm/3gG9hgj6aDwIjExWbwLe9T8k1VRdmDFXGFHhwdKgxWJHLDqeqCGIjd&#10;mmpT1++rAUPnA0qIkXYfpkN+KPxKgUxflYqQmGk51ZbKGsp6zGt12IvmFITvtZzLEP9QhRXaUdKF&#10;6kEkwZ6DfkVltQwYUaWVRFuhUlpC6YG6Wde/dfPUCw+lFxIn+kWm+P9o5Zfzk38MJMPgYxPJzF2M&#10;Ktj8p/rYWMS6LGLBmJikzU19s7292XEm6Wy72W13Rc3qivYhpk+AlmWj5YEuo2gkzp9joowU+hJC&#10;zjV/sdLFQC7BuG+gmO5yxoIuowH3JrCzoEsVUoJL6+moFx1M27uavny7lGRBFK8QZmaljVm4Z4I8&#10;dq+5J5o5PkOhTNYCrv9W2AReECUzurSArXYY/kRgqKs58xT/ItIkTVYpjceRQrJ5xO7yGFhI5h6n&#10;WRdO9kijLtNE7/DDc0Kli/RXyMxK81Xkmd9CHuBf/RJ1fbGHnwAAAP//AwBQSwMEFAAGAAgAAAAh&#10;AEnTmUHeAAAACQEAAA8AAABkcnMvZG93bnJldi54bWxMj8FOwzAQRO9I/IO1SNyoEytq0xCnQkgI&#10;iQui7Qe48ZKktdeR7TSBr8ec4Dia0cyberdYw67ow+BIQr7KgCG1Tg/USTgeXh5KYCEq0so4Qglf&#10;GGDX3N7UqtJupg+87mPHUgmFSknoYxwrzkPbo1Vh5Uak5H06b1VM0ndcezWncmu4yLI1t2qgtNCr&#10;EZ97bC/7yUpw+Xt8O8zFRDj713I4t+Z7U0p5f7c8PQKLuMS/MPziJ3RoEtPJTaQDMxLEtkhfYjKE&#10;AJYC67wogJ0kbLYCeFPz/w+aHwAAAP//AwBQSwECLQAUAAYACAAAACEAtoM4kv4AAADhAQAAEwAA&#10;AAAAAAAAAAAAAAAAAAAAW0NvbnRlbnRfVHlwZXNdLnhtbFBLAQItABQABgAIAAAAIQA4/SH/1gAA&#10;AJQBAAALAAAAAAAAAAAAAAAAAC8BAABfcmVscy8ucmVsc1BLAQItABQABgAIAAAAIQBO638g1AEA&#10;APkDAAAOAAAAAAAAAAAAAAAAAC4CAABkcnMvZTJvRG9jLnhtbFBLAQItABQABgAIAAAAIQBJ05lB&#10;3gAAAAkBAAAPAAAAAAAAAAAAAAAAAC4EAABkcnMvZG93bnJldi54bWxQSwUGAAAAAAQABADzAAAA&#10;OQUAAAAA&#10;" fillcolor="#4f81bd [3204]" strokecolor="#243f60 [1604]" strokeweight="2pt">
                <v:textbox>
                  <w:txbxContent>
                    <w:p w14:paraId="472C24C9" w14:textId="77777777" w:rsidR="00C559D4" w:rsidRDefault="00C559D4" w:rsidP="00C559D4">
                      <w:pPr>
                        <w:jc w:val="center"/>
                        <w:rPr>
                          <w:rFonts w:asciiTheme="minorHAnsi" w:hAnsi="Calibri" w:cstheme="minorBidi"/>
                          <w:color w:val="FFFFFF" w:themeColor="light1"/>
                          <w:kern w:val="24"/>
                          <w:sz w:val="21"/>
                          <w:szCs w:val="21"/>
                        </w:rPr>
                      </w:pPr>
                      <w:r>
                        <w:rPr>
                          <w:rFonts w:asciiTheme="minorHAnsi" w:hAnsi="Calibri" w:cstheme="minorBidi"/>
                          <w:color w:val="FFFFFF" w:themeColor="light1"/>
                          <w:kern w:val="24"/>
                          <w:sz w:val="21"/>
                          <w:szCs w:val="21"/>
                        </w:rPr>
                        <w:t xml:space="preserve">Director for IPC  </w:t>
                      </w:r>
                    </w:p>
                    <w:p w14:paraId="038BFEB3" w14:textId="222C0B0D" w:rsidR="00C559D4" w:rsidRDefault="00C559D4" w:rsidP="00C559D4">
                      <w:pPr>
                        <w:rPr>
                          <w:rFonts w:asciiTheme="minorHAnsi" w:hAnsi="Calibri" w:cstheme="minorBidi"/>
                          <w:color w:val="FFFFFF" w:themeColor="light1"/>
                          <w:kern w:val="24"/>
                          <w:sz w:val="21"/>
                          <w:szCs w:val="21"/>
                        </w:rPr>
                      </w:pPr>
                    </w:p>
                  </w:txbxContent>
                </v:textbox>
              </v:rect>
            </w:pict>
          </mc:Fallback>
        </mc:AlternateContent>
      </w:r>
    </w:p>
    <w:p w14:paraId="0A2AEAAC" w14:textId="4C3B0F99" w:rsidR="00C559D4" w:rsidRDefault="00C559D4" w:rsidP="007D4F16">
      <w:pPr>
        <w:rPr>
          <w:b/>
          <w:sz w:val="22"/>
        </w:rPr>
      </w:pPr>
    </w:p>
    <w:p w14:paraId="6EDA5AEF" w14:textId="10D234CE" w:rsidR="00C559D4" w:rsidRDefault="001754D8" w:rsidP="007D4F16">
      <w:pPr>
        <w:rPr>
          <w:b/>
          <w:sz w:val="22"/>
        </w:rPr>
      </w:pPr>
      <w:r>
        <w:rPr>
          <w:b/>
          <w:noProof/>
          <w:sz w:val="22"/>
        </w:rPr>
        <mc:AlternateContent>
          <mc:Choice Requires="wps">
            <w:drawing>
              <wp:anchor distT="0" distB="0" distL="114300" distR="114300" simplePos="0" relativeHeight="251953152" behindDoc="0" locked="0" layoutInCell="1" allowOverlap="1" wp14:anchorId="4B6FC58B" wp14:editId="218C36B6">
                <wp:simplePos x="0" y="0"/>
                <wp:positionH relativeFrom="margin">
                  <wp:align>center</wp:align>
                </wp:positionH>
                <wp:positionV relativeFrom="paragraph">
                  <wp:posOffset>24765</wp:posOffset>
                </wp:positionV>
                <wp:extent cx="0" cy="279400"/>
                <wp:effectExtent l="0" t="0" r="38100" b="25400"/>
                <wp:wrapNone/>
                <wp:docPr id="195" name="Straight Connector 195"/>
                <wp:cNvGraphicFramePr/>
                <a:graphic xmlns:a="http://schemas.openxmlformats.org/drawingml/2006/main">
                  <a:graphicData uri="http://schemas.microsoft.com/office/word/2010/wordprocessingShape">
                    <wps:wsp>
                      <wps:cNvCnPr/>
                      <wps:spPr>
                        <a:xfrm flipH="1" flipV="1">
                          <a:off x="0" y="0"/>
                          <a:ext cx="0" cy="279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BCD57B" id="Straight Connector 195" o:spid="_x0000_s1026" style="position:absolute;flip:x y;z-index:251953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95pt" to="0,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ehVwwEAAHoDAAAOAAAAZHJzL2Uyb0RvYy54bWysU8mOEzEQvSPxD5bvpDvRBCatdEZiosCB&#10;ZSSWe8VLtyVvcpl05u8puzNhgBviYpVrefXquby9OzvLTiqhCb7ny0XLmfIiSOOHnn/7enh1yxlm&#10;8BJs8Krnjwr53e7li+0UO7UKY7BSJUYgHrsp9nzMOXZNg2JUDnARovIU1CE5yHRNQyMTTITubLNq&#10;29fNFJKMKQiFSN79HOS7iq+1Evmz1qgysz0nbrmeqZ7Hcja7LXRDgjgacaEB/8DCgfHU9Aq1hwzs&#10;RzJ/QTkjUsCg80IE1wStjVB1Bppm2f4xzZcRoqqzkDgYrzLh/4MVn073/iGRDFPEDuNDKlOcdXJM&#10;WxPf05vyan0vVokRZ3auAj5eBVTnzMTsFORdvdnctFXbZsYqdTFhfqeCY8XouTW+jAYdnD5gpv6U&#10;+pRS3D4cjLX1eaxnU88369WaMwG0JNpCJtNF2XP0A2dgB9o+kVNFxGCNLNUFB9NwvLeJnYA24OZw&#10;u3y7n5NGkGr2btbtzJayIX8McnYv2yc/UbvAVJq/4RfOe8BxrqmhslRUYn3pr+oSXkb8pXGxjkE+&#10;VumbcqMHrmWXZSwb9PxO9vMvs/sJAAD//wMAUEsDBBQABgAIAAAAIQDX1Cpm2AAAAAIBAAAPAAAA&#10;ZHJzL2Rvd25yZXYueG1sTI9BS8NAFITvgv9heYI3u6lKY2M2RQq5Cqal6O01+5qEZt+G7KaN/97n&#10;SY/DDDPf5JvZ9epCY+g8G1guElDEtbcdNwb2u/LhBVSIyBZ7z2TgmwJsitubHDPrr/xBlyo2Sko4&#10;ZGigjXHItA51Sw7Dwg/E4p386DCKHBttR7xKuev1Y5KstMOOZaHFgbYt1edqcgamU7W1afo+fVWH&#10;+WBXn2WCu9KY+7v57RVUpDn+heEXX9ChEKajn9gG1RuQI9HA0xqUmCKOBp7TNegi1//Rix8AAAD/&#10;/wMAUEsBAi0AFAAGAAgAAAAhALaDOJL+AAAA4QEAABMAAAAAAAAAAAAAAAAAAAAAAFtDb250ZW50&#10;X1R5cGVzXS54bWxQSwECLQAUAAYACAAAACEAOP0h/9YAAACUAQAACwAAAAAAAAAAAAAAAAAvAQAA&#10;X3JlbHMvLnJlbHNQSwECLQAUAAYACAAAACEAndHoVcMBAAB6AwAADgAAAAAAAAAAAAAAAAAuAgAA&#10;ZHJzL2Uyb0RvYy54bWxQSwECLQAUAAYACAAAACEA19QqZtgAAAACAQAADwAAAAAAAAAAAAAAAAAd&#10;BAAAZHJzL2Rvd25yZXYueG1sUEsFBgAAAAAEAAQA8wAAACIFAAAAAA==&#10;" strokecolor="#4a7ebb">
                <w10:wrap anchorx="margin"/>
              </v:line>
            </w:pict>
          </mc:Fallback>
        </mc:AlternateContent>
      </w:r>
    </w:p>
    <w:p w14:paraId="1B4E5C59" w14:textId="1C23BE44" w:rsidR="00C559D4" w:rsidRDefault="00C559D4" w:rsidP="007D4F16">
      <w:pPr>
        <w:rPr>
          <w:b/>
          <w:sz w:val="22"/>
        </w:rPr>
      </w:pPr>
      <w:r>
        <w:rPr>
          <w:noProof/>
        </w:rPr>
        <mc:AlternateContent>
          <mc:Choice Requires="wps">
            <w:drawing>
              <wp:anchor distT="0" distB="0" distL="114300" distR="114300" simplePos="0" relativeHeight="251926528" behindDoc="0" locked="0" layoutInCell="1" allowOverlap="1" wp14:anchorId="27B061F9" wp14:editId="2A4FFE5E">
                <wp:simplePos x="0" y="0"/>
                <wp:positionH relativeFrom="margin">
                  <wp:posOffset>1866900</wp:posOffset>
                </wp:positionH>
                <wp:positionV relativeFrom="paragraph">
                  <wp:posOffset>77470</wp:posOffset>
                </wp:positionV>
                <wp:extent cx="2076450" cy="412750"/>
                <wp:effectExtent l="0" t="0" r="19050" b="25400"/>
                <wp:wrapNone/>
                <wp:docPr id="40" name="Rectangle 8"/>
                <wp:cNvGraphicFramePr/>
                <a:graphic xmlns:a="http://schemas.openxmlformats.org/drawingml/2006/main">
                  <a:graphicData uri="http://schemas.microsoft.com/office/word/2010/wordprocessingShape">
                    <wps:wsp>
                      <wps:cNvSpPr/>
                      <wps:spPr>
                        <a:xfrm>
                          <a:off x="0" y="0"/>
                          <a:ext cx="2076450" cy="412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DDC2C9" w14:textId="0C2B61B0" w:rsidR="00C559D4" w:rsidRPr="00C559D4" w:rsidRDefault="00C559D4" w:rsidP="00C559D4">
                            <w:pPr>
                              <w:jc w:val="center"/>
                              <w:rPr>
                                <w:rFonts w:asciiTheme="minorHAnsi" w:eastAsia="Calibri" w:hAnsiTheme="minorHAnsi" w:cstheme="minorHAnsi"/>
                                <w:color w:val="FFFFFF"/>
                                <w:kern w:val="24"/>
                                <w:sz w:val="21"/>
                                <w:szCs w:val="21"/>
                              </w:rPr>
                            </w:pPr>
                            <w:r w:rsidRPr="00C559D4">
                              <w:rPr>
                                <w:rFonts w:asciiTheme="minorHAnsi" w:eastAsia="Calibri" w:hAnsiTheme="minorHAnsi" w:cstheme="minorHAnsi"/>
                                <w:color w:val="FFFFFF"/>
                                <w:kern w:val="24"/>
                                <w:sz w:val="21"/>
                                <w:szCs w:val="21"/>
                              </w:rPr>
                              <w:t xml:space="preserve">Associate Director </w:t>
                            </w:r>
                            <w:r>
                              <w:rPr>
                                <w:rFonts w:asciiTheme="minorHAnsi" w:eastAsia="Calibri" w:hAnsiTheme="minorHAnsi" w:cstheme="minorHAnsi"/>
                                <w:color w:val="FFFFFF"/>
                                <w:kern w:val="24"/>
                                <w:sz w:val="21"/>
                                <w:szCs w:val="21"/>
                              </w:rPr>
                              <w:t xml:space="preserve">for </w:t>
                            </w:r>
                            <w:r w:rsidRPr="00C559D4">
                              <w:rPr>
                                <w:rFonts w:asciiTheme="minorHAnsi" w:eastAsia="Calibri" w:hAnsiTheme="minorHAnsi" w:cstheme="minorHAnsi"/>
                                <w:color w:val="FFFFFF"/>
                                <w:kern w:val="24"/>
                                <w:sz w:val="21"/>
                                <w:szCs w:val="21"/>
                              </w:rPr>
                              <w:t>IPC</w:t>
                            </w:r>
                          </w:p>
                          <w:p w14:paraId="43866A04" w14:textId="7BA1B586" w:rsidR="00C559D4" w:rsidRPr="00C559D4" w:rsidRDefault="00C559D4" w:rsidP="00C559D4">
                            <w:pPr>
                              <w:jc w:val="center"/>
                              <w:rPr>
                                <w:rFonts w:asciiTheme="minorHAnsi" w:hAnsiTheme="minorHAnsi" w:cstheme="minorHAnsi"/>
                                <w:color w:val="FFFFFF"/>
                                <w:kern w:val="24"/>
                                <w:sz w:val="21"/>
                                <w:szCs w:val="21"/>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7B061F9" id="Rectangle 8" o:spid="_x0000_s1027" style="position:absolute;margin-left:147pt;margin-top:6.1pt;width:163.5pt;height:32.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984AEAAA4EAAAOAAAAZHJzL2Uyb0RvYy54bWysU9uO0zAQfUfiHyy/06TVXlDUdIV2BS8I&#10;VuzyAa4zbizZHmO7Tfr3jJ1siljEAyIPji9zzpw5Hm/vRmvYCULU6Fq+XtWcgZPYaXdo+ffnj+/e&#10;cxaTcJ0w6KDlZ4j8bvf2zXbwDWywR9NBYETiYjP4lvcp+aaqouzBirhCD44OFQYrEi3DoeqCGIjd&#10;mmpT1zfVgKHzASXESLsP0yHfFX6lQKavSkVIzLSctKUyhjLu81jttqI5BOF7LWcZ4h9UWKEdJV2o&#10;HkQS7Bj0KyqrZcCIKq0k2gqV0hJKDVTNuv6tmqdeeCi1kDnRLzbF/0crv5ye/GMgGwYfm0jTXMWo&#10;gs1/0sfGYtZ5MQvGxCRtburbm6tr8lTS2dV6c0tzoqkuaB9i+gRoWZ60PNBlFI/E6XNMU+hLCOEu&#10;+cssnQ1kCcZ9A8V0lzMWdGkNuDeBnQRdqpASXFpPR73oYNq+rumb9SyIoq4QZmaljVm4Z4Lcdq+5&#10;J61zfIZC6awFXP9N2AReECUzurSArXYY/kRgqKo58xT/YtJkTXYpjfuRvKGHlyPzzh6782NgA3V0&#10;y+OPowjAWUjmHqcHIJzskfpfpimnww/HhEqX+7gQzKmo6Ypn8wPJXf3rukRdnvHuJwAAAP//AwBQ&#10;SwMEFAAGAAgAAAAhAG6RSpvdAAAACQEAAA8AAABkcnMvZG93bnJldi54bWxMj8FOwzAQRO9I/IO1&#10;SNyoE6tqQohTISSExAXR8gFuvCQBex3FThP4epYTHHdmNPum3q/eiTNOcQikId9kIJDaYAfqNLwd&#10;H29KEDEZssYFQg1fGGHfXF7UprJhoVc8H1InuIRiZTT0KY2VlLHt0Zu4CSMSe+9h8ibxOXXSTmbh&#10;cu+kyrKd9GYg/tCbER96bD8Ps9cQ8pf0fFy2M+EyPZXDR+u+i1Lr66v1/g5EwjX9heEXn9GhYaZT&#10;mMlG4TSo2y1vSWwoBYIDO5WzcNJQFApkU8v/C5ofAAAA//8DAFBLAQItABQABgAIAAAAIQC2gziS&#10;/gAAAOEBAAATAAAAAAAAAAAAAAAAAAAAAABbQ29udGVudF9UeXBlc10ueG1sUEsBAi0AFAAGAAgA&#10;AAAhADj9If/WAAAAlAEAAAsAAAAAAAAAAAAAAAAALwEAAF9yZWxzLy5yZWxzUEsBAi0AFAAGAAgA&#10;AAAhANv7T3zgAQAADgQAAA4AAAAAAAAAAAAAAAAALgIAAGRycy9lMm9Eb2MueG1sUEsBAi0AFAAG&#10;AAgAAAAhAG6RSpvdAAAACQEAAA8AAAAAAAAAAAAAAAAAOgQAAGRycy9kb3ducmV2LnhtbFBLBQYA&#10;AAAABAAEAPMAAABEBQAAAAA=&#10;" fillcolor="#4f81bd [3204]" strokecolor="#243f60 [1604]" strokeweight="2pt">
                <v:textbox>
                  <w:txbxContent>
                    <w:p w14:paraId="51DDC2C9" w14:textId="0C2B61B0" w:rsidR="00C559D4" w:rsidRPr="00C559D4" w:rsidRDefault="00C559D4" w:rsidP="00C559D4">
                      <w:pPr>
                        <w:jc w:val="center"/>
                        <w:rPr>
                          <w:rFonts w:asciiTheme="minorHAnsi" w:eastAsia="Calibri" w:hAnsiTheme="minorHAnsi" w:cstheme="minorHAnsi"/>
                          <w:color w:val="FFFFFF"/>
                          <w:kern w:val="24"/>
                          <w:sz w:val="21"/>
                          <w:szCs w:val="21"/>
                        </w:rPr>
                      </w:pPr>
                      <w:r w:rsidRPr="00C559D4">
                        <w:rPr>
                          <w:rFonts w:asciiTheme="minorHAnsi" w:eastAsia="Calibri" w:hAnsiTheme="minorHAnsi" w:cstheme="minorHAnsi"/>
                          <w:color w:val="FFFFFF"/>
                          <w:kern w:val="24"/>
                          <w:sz w:val="21"/>
                          <w:szCs w:val="21"/>
                        </w:rPr>
                        <w:t xml:space="preserve">Associate Director </w:t>
                      </w:r>
                      <w:r>
                        <w:rPr>
                          <w:rFonts w:asciiTheme="minorHAnsi" w:eastAsia="Calibri" w:hAnsiTheme="minorHAnsi" w:cstheme="minorHAnsi"/>
                          <w:color w:val="FFFFFF"/>
                          <w:kern w:val="24"/>
                          <w:sz w:val="21"/>
                          <w:szCs w:val="21"/>
                        </w:rPr>
                        <w:t xml:space="preserve">for </w:t>
                      </w:r>
                      <w:r w:rsidRPr="00C559D4">
                        <w:rPr>
                          <w:rFonts w:asciiTheme="minorHAnsi" w:eastAsia="Calibri" w:hAnsiTheme="minorHAnsi" w:cstheme="minorHAnsi"/>
                          <w:color w:val="FFFFFF"/>
                          <w:kern w:val="24"/>
                          <w:sz w:val="21"/>
                          <w:szCs w:val="21"/>
                        </w:rPr>
                        <w:t>IPC</w:t>
                      </w:r>
                    </w:p>
                    <w:p w14:paraId="43866A04" w14:textId="7BA1B586" w:rsidR="00C559D4" w:rsidRPr="00C559D4" w:rsidRDefault="00C559D4" w:rsidP="00C559D4">
                      <w:pPr>
                        <w:jc w:val="center"/>
                        <w:rPr>
                          <w:rFonts w:asciiTheme="minorHAnsi" w:hAnsiTheme="minorHAnsi" w:cstheme="minorHAnsi"/>
                          <w:color w:val="FFFFFF"/>
                          <w:kern w:val="24"/>
                          <w:sz w:val="21"/>
                          <w:szCs w:val="21"/>
                        </w:rPr>
                      </w:pPr>
                    </w:p>
                  </w:txbxContent>
                </v:textbox>
                <w10:wrap anchorx="margin"/>
              </v:rect>
            </w:pict>
          </mc:Fallback>
        </mc:AlternateContent>
      </w:r>
    </w:p>
    <w:p w14:paraId="42ED0F64" w14:textId="600D152A" w:rsidR="00C559D4" w:rsidRDefault="001754D8" w:rsidP="007D4F16">
      <w:pPr>
        <w:rPr>
          <w:b/>
          <w:sz w:val="22"/>
        </w:rPr>
      </w:pPr>
      <w:r>
        <w:rPr>
          <w:b/>
          <w:noProof/>
          <w:sz w:val="22"/>
        </w:rPr>
        <mc:AlternateContent>
          <mc:Choice Requires="wps">
            <w:drawing>
              <wp:anchor distT="0" distB="0" distL="114300" distR="114300" simplePos="0" relativeHeight="251943936" behindDoc="0" locked="0" layoutInCell="1" allowOverlap="1" wp14:anchorId="70F1D588" wp14:editId="641247E0">
                <wp:simplePos x="0" y="0"/>
                <wp:positionH relativeFrom="margin">
                  <wp:align>center</wp:align>
                </wp:positionH>
                <wp:positionV relativeFrom="paragraph">
                  <wp:posOffset>221615</wp:posOffset>
                </wp:positionV>
                <wp:extent cx="6350" cy="266700"/>
                <wp:effectExtent l="0" t="0" r="31750" b="19050"/>
                <wp:wrapNone/>
                <wp:docPr id="60" name="Straight Connector 60"/>
                <wp:cNvGraphicFramePr/>
                <a:graphic xmlns:a="http://schemas.openxmlformats.org/drawingml/2006/main">
                  <a:graphicData uri="http://schemas.microsoft.com/office/word/2010/wordprocessingShape">
                    <wps:wsp>
                      <wps:cNvCnPr/>
                      <wps:spPr>
                        <a:xfrm flipH="1" flipV="1">
                          <a:off x="0" y="0"/>
                          <a:ext cx="635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15A3E1" id="Straight Connector 60" o:spid="_x0000_s1026" style="position:absolute;flip:x y;z-index:251943936;visibility:visible;mso-wrap-style:square;mso-wrap-distance-left:9pt;mso-wrap-distance-top:0;mso-wrap-distance-right:9pt;mso-wrap-distance-bottom:0;mso-position-horizontal:center;mso-position-horizontal-relative:margin;mso-position-vertical:absolute;mso-position-vertical-relative:text" from="0,17.45pt" to=".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hhrQEAAKoDAAAOAAAAZHJzL2Uyb0RvYy54bWysU01v2zAMvRfofxB0b+xkWFoYcXpose4w&#10;rEW77a7KVCxAX5DU2Pn3o+jELdZhwIZdBMrke+R7ojfXozVsDzFp71q+XNScgZO+027X8u/fPl1c&#10;cZaycJ0w3kHLD5D49fb8bDOEBla+96aDyJDEpWYILe9zDk1VJdmDFWnhAzhMKh+tyHiNu6qLYkB2&#10;a6pVXa+rwccuRC8hJfx6OyX5lviVApnvlUqQmWk5zpbpjHQ+l7PabkSziyL0Wh7HEP8whRXaYdOZ&#10;6lZkwV6ifkdltYw+eZUX0tvKK6UlkAZUs6x/UfPUiwCkBc1JYbYp/T9a+XV/4x4i2jCE1KTwEIuK&#10;UUXLlNHhM74pp+hHiUoOZ2YjGXiYDYQxM4kf1x8+oskSE6v1+rIme6uJrkBDTPkOvGUlaLnRrqgT&#10;jdh/SRlHwNJTCV5eB6IoHwyUYuMeQTHdYbtpINoVuDGR7QW+spASXF6Wl0U+qi4wpY2ZgTW1/SPw&#10;WF+gQHv0N+AZQZ29yzPYaufj77rn8TSymupPDky6iwXPvjvQU5E1uBCk8Li8ZePe3gn++ottfwIA&#10;AP//AwBQSwMEFAAGAAgAAAAhAPJpXNjaAAAABAEAAA8AAABkcnMvZG93bnJldi54bWxMj8FOwzAQ&#10;RO9I/QdrK3GjDi1qacimqhAgbhUtiKtrL3FEvI5ip0n5etwTHEczmnlTbEbXiBN1ofaMcDvLQBBr&#10;b2quEN4Pzzf3IEJUbFTjmRDOFGBTTq4KlRs/8Bud9rESqYRDrhBsjG0uZdCWnAoz3xIn78t3TsUk&#10;u0qaTg2p3DVynmVL6VTNacGqlh4t6e997xAGafXOn3c/T5+L15fxYHW/+tCI19Nx+wAi0hj/wnDB&#10;T+hQJqaj79kE0SCkIxFhcbcGcXGTPCKslmuQZSH/w5e/AAAA//8DAFBLAQItABQABgAIAAAAIQC2&#10;gziS/gAAAOEBAAATAAAAAAAAAAAAAAAAAAAAAABbQ29udGVudF9UeXBlc10ueG1sUEsBAi0AFAAG&#10;AAgAAAAhADj9If/WAAAAlAEAAAsAAAAAAAAAAAAAAAAALwEAAF9yZWxzLy5yZWxzUEsBAi0AFAAG&#10;AAgAAAAhAKlKOGGtAQAAqgMAAA4AAAAAAAAAAAAAAAAALgIAAGRycy9lMm9Eb2MueG1sUEsBAi0A&#10;FAAGAAgAAAAhAPJpXNjaAAAABAEAAA8AAAAAAAAAAAAAAAAABwQAAGRycy9kb3ducmV2LnhtbFBL&#10;BQYAAAAABAAEAPMAAAAOBQAAAAA=&#10;" strokecolor="#4579b8 [3044]">
                <w10:wrap anchorx="margin"/>
              </v:line>
            </w:pict>
          </mc:Fallback>
        </mc:AlternateContent>
      </w:r>
    </w:p>
    <w:p w14:paraId="5941501C" w14:textId="2FD5B609" w:rsidR="00C559D4" w:rsidRDefault="00C559D4" w:rsidP="007D4F16">
      <w:pPr>
        <w:rPr>
          <w:b/>
          <w:sz w:val="22"/>
        </w:rPr>
      </w:pPr>
    </w:p>
    <w:p w14:paraId="73CBD75B" w14:textId="127567BE" w:rsidR="00C559D4" w:rsidRDefault="00C559D4" w:rsidP="007D4F16">
      <w:pPr>
        <w:rPr>
          <w:b/>
          <w:sz w:val="22"/>
        </w:rPr>
      </w:pPr>
      <w:r>
        <w:rPr>
          <w:noProof/>
        </w:rPr>
        <mc:AlternateContent>
          <mc:Choice Requires="wps">
            <w:drawing>
              <wp:anchor distT="0" distB="0" distL="114300" distR="114300" simplePos="0" relativeHeight="251928576" behindDoc="0" locked="0" layoutInCell="1" allowOverlap="1" wp14:anchorId="4D6BBFEB" wp14:editId="2BC6B32B">
                <wp:simplePos x="0" y="0"/>
                <wp:positionH relativeFrom="margin">
                  <wp:posOffset>1859280</wp:posOffset>
                </wp:positionH>
                <wp:positionV relativeFrom="paragraph">
                  <wp:posOffset>24765</wp:posOffset>
                </wp:positionV>
                <wp:extent cx="2095742" cy="462456"/>
                <wp:effectExtent l="0" t="0" r="19050" b="13970"/>
                <wp:wrapNone/>
                <wp:docPr id="42" name="Rectangle 16"/>
                <wp:cNvGraphicFramePr/>
                <a:graphic xmlns:a="http://schemas.openxmlformats.org/drawingml/2006/main">
                  <a:graphicData uri="http://schemas.microsoft.com/office/word/2010/wordprocessingShape">
                    <wps:wsp>
                      <wps:cNvSpPr/>
                      <wps:spPr>
                        <a:xfrm>
                          <a:off x="0" y="0"/>
                          <a:ext cx="2095742" cy="4624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C6E81E" w14:textId="77777777" w:rsidR="00C559D4" w:rsidRDefault="00C559D4" w:rsidP="00C559D4">
                            <w:pPr>
                              <w:jc w:val="center"/>
                              <w:rPr>
                                <w:rFonts w:asciiTheme="minorHAnsi" w:hAnsi="Calibri" w:cstheme="minorBidi"/>
                                <w:color w:val="FFFFFF" w:themeColor="light1"/>
                                <w:kern w:val="24"/>
                                <w:sz w:val="21"/>
                                <w:szCs w:val="21"/>
                              </w:rPr>
                            </w:pPr>
                            <w:r>
                              <w:rPr>
                                <w:rFonts w:asciiTheme="minorHAnsi" w:hAnsi="Calibri" w:cstheme="minorBidi"/>
                                <w:color w:val="FFFFFF" w:themeColor="light1"/>
                                <w:kern w:val="24"/>
                                <w:sz w:val="21"/>
                                <w:szCs w:val="21"/>
                              </w:rPr>
                              <w:t>IPC Clinical Lead Nurse</w:t>
                            </w:r>
                          </w:p>
                          <w:p w14:paraId="43C3865D" w14:textId="77777777" w:rsidR="00C559D4" w:rsidRDefault="00C559D4" w:rsidP="00C559D4">
                            <w:pPr>
                              <w:jc w:val="center"/>
                              <w:rPr>
                                <w:rFonts w:asciiTheme="minorHAnsi" w:hAnsi="Calibri" w:cstheme="minorBidi"/>
                                <w:color w:val="FFFFFF" w:themeColor="light1"/>
                                <w:kern w:val="24"/>
                                <w:sz w:val="21"/>
                                <w:szCs w:val="21"/>
                              </w:rPr>
                            </w:pPr>
                            <w:r>
                              <w:rPr>
                                <w:rFonts w:asciiTheme="minorHAnsi" w:hAnsi="Calibri" w:cstheme="minorBidi"/>
                                <w:color w:val="FFFFFF" w:themeColor="light1"/>
                                <w:kern w:val="24"/>
                                <w:sz w:val="21"/>
                                <w:szCs w:val="21"/>
                              </w:rPr>
                              <w:t>Anna Morris</w:t>
                            </w:r>
                          </w:p>
                        </w:txbxContent>
                      </wps:txbx>
                      <wps:bodyPr rtlCol="0" anchor="ctr"/>
                    </wps:wsp>
                  </a:graphicData>
                </a:graphic>
              </wp:anchor>
            </w:drawing>
          </mc:Choice>
          <mc:Fallback>
            <w:pict>
              <v:rect w14:anchorId="4D6BBFEB" id="Rectangle 16" o:spid="_x0000_s1028" style="position:absolute;margin-left:146.4pt;margin-top:1.95pt;width:165pt;height:36.4pt;z-index:251928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7OzAEAAOYDAAAOAAAAZHJzL2Uyb0RvYy54bWysU02P0zAQvSPxHyzfadKoLVA13cOu4IJg&#10;xcIPcJ1xY8lfGpsm/feMnWyKWMQBkYNjj+e9efMyOdyN1rALYNTetXy9qjkDJ32n3bnl3799ePOO&#10;s5iE64TxDlp+hcjvjq9fHYawh8b33nSAjEhc3A+h5X1KYV9VUfZgRVz5AI4ulUcrEh3xXHUoBmK3&#10;pmrqelcNHruAXkKMFH2YLvmx8CsFMn1RKkJipuWkLZUVy3rKa3U8iP0ZRei1nGWIf1BhhXZUdKF6&#10;EEmwH6hfUFkt0Uev0kp6W3mltITSA3Wzrn/r5qkXAUovZE4Mi03x/9HKz5en8IhkwxDiPtI2dzEq&#10;tPlN+thYzLouZsGYmKRgU7/fvt00nEm62+yazXaX3axu6IAxfQRvWd60HOljFI/E5VNMU+pzCuFu&#10;9csuXQ1kCcZ9BcV0lysWdBkNuDfILoI+qpASXFpPV73oYApva3pmPQuiqCuEmVlpYxbumSCP3Uvu&#10;Seucn6FQJmsB138TNoEXRKnsXVrAVjuPfyIw1NVcecp/NmmyJruUxtNI3mRrKDNHTr67PiLDZO79&#10;NPLCyd7TxMuEhS5n0TAVL+bBz9P667kUuv2ex58AAAD//wMAUEsDBBQABgAIAAAAIQAtI/BW3AAA&#10;AAgBAAAPAAAAZHJzL2Rvd25yZXYueG1sTI/BTsMwEETvSPyDtUjcqNOAkjTNpkJICIkLouUD3Hib&#10;BOJ1ZDtN4OtxT3AczWjmTbVbzCDO5HxvGWG9SkAQN1b33CJ8HJ7vChA+KNZqsEwI3+RhV19fVarU&#10;duZ3Ou9DK2IJ+1IhdCGMpZS+6cgov7IjcfRO1hkVonSt1E7NsdwMMk2STBrVc1zo1EhPHTVf+8kg&#10;2PVbeD3MDxPT7F6K/rMZfvIC8fZmedyCCLSEvzBc8CM61JHpaCfWXgwI6SaN6AHhfgMi+ll60UeE&#10;PMtB1pX8f6D+BQAA//8DAFBLAQItABQABgAIAAAAIQC2gziS/gAAAOEBAAATAAAAAAAAAAAAAAAA&#10;AAAAAABbQ29udGVudF9UeXBlc10ueG1sUEsBAi0AFAAGAAgAAAAhADj9If/WAAAAlAEAAAsAAAAA&#10;AAAAAAAAAAAALwEAAF9yZWxzLy5yZWxzUEsBAi0AFAAGAAgAAAAhAKhjPs7MAQAA5gMAAA4AAAAA&#10;AAAAAAAAAAAALgIAAGRycy9lMm9Eb2MueG1sUEsBAi0AFAAGAAgAAAAhAC0j8FbcAAAACAEAAA8A&#10;AAAAAAAAAAAAAAAAJgQAAGRycy9kb3ducmV2LnhtbFBLBQYAAAAABAAEAPMAAAAvBQAAAAA=&#10;" fillcolor="#4f81bd [3204]" strokecolor="#243f60 [1604]" strokeweight="2pt">
                <v:textbox>
                  <w:txbxContent>
                    <w:p w14:paraId="22C6E81E" w14:textId="77777777" w:rsidR="00C559D4" w:rsidRDefault="00C559D4" w:rsidP="00C559D4">
                      <w:pPr>
                        <w:jc w:val="center"/>
                        <w:rPr>
                          <w:rFonts w:asciiTheme="minorHAnsi" w:hAnsi="Calibri" w:cstheme="minorBidi"/>
                          <w:color w:val="FFFFFF" w:themeColor="light1"/>
                          <w:kern w:val="24"/>
                          <w:sz w:val="21"/>
                          <w:szCs w:val="21"/>
                        </w:rPr>
                      </w:pPr>
                      <w:r>
                        <w:rPr>
                          <w:rFonts w:asciiTheme="minorHAnsi" w:hAnsi="Calibri" w:cstheme="minorBidi"/>
                          <w:color w:val="FFFFFF" w:themeColor="light1"/>
                          <w:kern w:val="24"/>
                          <w:sz w:val="21"/>
                          <w:szCs w:val="21"/>
                        </w:rPr>
                        <w:t>IPC Clinical Lead Nurse</w:t>
                      </w:r>
                    </w:p>
                    <w:p w14:paraId="43C3865D" w14:textId="77777777" w:rsidR="00C559D4" w:rsidRDefault="00C559D4" w:rsidP="00C559D4">
                      <w:pPr>
                        <w:jc w:val="center"/>
                        <w:rPr>
                          <w:rFonts w:asciiTheme="minorHAnsi" w:hAnsi="Calibri" w:cstheme="minorBidi"/>
                          <w:color w:val="FFFFFF" w:themeColor="light1"/>
                          <w:kern w:val="24"/>
                          <w:sz w:val="21"/>
                          <w:szCs w:val="21"/>
                        </w:rPr>
                      </w:pPr>
                      <w:r>
                        <w:rPr>
                          <w:rFonts w:asciiTheme="minorHAnsi" w:hAnsi="Calibri" w:cstheme="minorBidi"/>
                          <w:color w:val="FFFFFF" w:themeColor="light1"/>
                          <w:kern w:val="24"/>
                          <w:sz w:val="21"/>
                          <w:szCs w:val="21"/>
                        </w:rPr>
                        <w:t>Anna Morris</w:t>
                      </w:r>
                    </w:p>
                  </w:txbxContent>
                </v:textbox>
                <w10:wrap anchorx="margin"/>
              </v:rect>
            </w:pict>
          </mc:Fallback>
        </mc:AlternateContent>
      </w:r>
    </w:p>
    <w:p w14:paraId="36AC2578" w14:textId="72680CAA" w:rsidR="00C559D4" w:rsidRDefault="00C559D4" w:rsidP="007D4F16">
      <w:pPr>
        <w:rPr>
          <w:b/>
          <w:sz w:val="22"/>
        </w:rPr>
      </w:pPr>
    </w:p>
    <w:p w14:paraId="26917735" w14:textId="00A083E5" w:rsidR="00C559D4" w:rsidRDefault="00685473" w:rsidP="007D4F16">
      <w:pPr>
        <w:rPr>
          <w:b/>
          <w:sz w:val="22"/>
        </w:rPr>
      </w:pPr>
      <w:r>
        <w:rPr>
          <w:b/>
          <w:noProof/>
          <w:sz w:val="22"/>
        </w:rPr>
        <mc:AlternateContent>
          <mc:Choice Requires="wps">
            <w:drawing>
              <wp:anchor distT="0" distB="0" distL="114300" distR="114300" simplePos="0" relativeHeight="251942912" behindDoc="0" locked="0" layoutInCell="1" allowOverlap="1" wp14:anchorId="218C6EE1" wp14:editId="21D97E79">
                <wp:simplePos x="0" y="0"/>
                <wp:positionH relativeFrom="margin">
                  <wp:align>center</wp:align>
                </wp:positionH>
                <wp:positionV relativeFrom="paragraph">
                  <wp:posOffset>15875</wp:posOffset>
                </wp:positionV>
                <wp:extent cx="19050" cy="1607820"/>
                <wp:effectExtent l="0" t="0" r="19050" b="30480"/>
                <wp:wrapNone/>
                <wp:docPr id="57" name="Straight Connector 57"/>
                <wp:cNvGraphicFramePr/>
                <a:graphic xmlns:a="http://schemas.openxmlformats.org/drawingml/2006/main">
                  <a:graphicData uri="http://schemas.microsoft.com/office/word/2010/wordprocessingShape">
                    <wps:wsp>
                      <wps:cNvCnPr/>
                      <wps:spPr>
                        <a:xfrm>
                          <a:off x="0" y="0"/>
                          <a:ext cx="19050" cy="16078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A912EF" id="Straight Connector 57" o:spid="_x0000_s1026" style="position:absolute;z-index:251942912;visibility:visible;mso-wrap-style:square;mso-wrap-distance-left:9pt;mso-wrap-distance-top:0;mso-wrap-distance-right:9pt;mso-wrap-distance-bottom:0;mso-position-horizontal:center;mso-position-horizontal-relative:margin;mso-position-vertical:absolute;mso-position-vertical-relative:text" from="0,1.25pt" to="1.5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yyoAEAAJgDAAAOAAAAZHJzL2Uyb0RvYy54bWysU01P3DAQvSPxHyzfu0lWgkK0WQ4guCCK&#10;2vIDjDPeWLI9lm022X/fsXc3W9FKVREXxx/z3sx7M1ndTNawLYSo0XW8WdScgZPYa7fp+MvP+y9X&#10;nMUkXC8MOuj4DiK/WZ+frUbfwhIHND0ERiQutqPv+JCSb6sqygGsiAv04OhRYbAi0TFsqj6Ikdit&#10;qZZ1fVmNGHofUEKMdHu3f+Trwq8UyPRNqQiJmY5Tbamsoayvea3WK9FugvCDlocyxAeqsEI7SjpT&#10;3Ykk2FvQf1BZLQNGVGkh0VaolJZQNJCapn6n5scgPBQtZE70s03x82jl0/bWPQeyYfSxjf45ZBWT&#10;CjZ/qT42FbN2s1kwJSbpsrmuL8hRSS/NZf31alnMrE5gH2J6ALQsbzputMtaRCu2jzFRQgo9htDh&#10;lL7s0s5ADjbuOyim+5ywoMtkwK0JbCuop0JKcKnJfSS+Ep1hShszA+t/Aw/xGQplav4HPCNKZnRp&#10;BlvtMPwte5qOJat9/NGBve5swSv2u9KYYg21vyg8jGqer9/PBX76oda/AAAA//8DAFBLAwQUAAYA&#10;CAAAACEAZo6vfdsAAAAEAQAADwAAAGRycy9kb3ducmV2LnhtbEyP0U7CQBBF3038h82Y8GJgK1ok&#10;tVuiJIQHIUbqByzdsW3szjbdbSl+vcOTPJ7cyb1n0tVoGzFg52tHCh5mEQikwpmaSgVf+Wa6BOGD&#10;JqMbR6jgjB5W2e1NqhPjTvSJwyGUgkvIJ1pBFUKbSOmLCq32M9cicfbtOqsDY1dK0+kTl9tGzqNo&#10;Ia2uiRcq3eK6wuLn0FsF280bvsfnvnwy8Ta/H/Ld/vdjqdTkbnx9ARFwDP/HcNFndcjY6eh6Ml40&#10;CviRoGAeg+Dwkel4ofgZZJbKa/nsDwAA//8DAFBLAQItABQABgAIAAAAIQC2gziS/gAAAOEBAAAT&#10;AAAAAAAAAAAAAAAAAAAAAABbQ29udGVudF9UeXBlc10ueG1sUEsBAi0AFAAGAAgAAAAhADj9If/W&#10;AAAAlAEAAAsAAAAAAAAAAAAAAAAALwEAAF9yZWxzLy5yZWxzUEsBAi0AFAAGAAgAAAAhADhZTLKg&#10;AQAAmAMAAA4AAAAAAAAAAAAAAAAALgIAAGRycy9lMm9Eb2MueG1sUEsBAi0AFAAGAAgAAAAhAGaO&#10;r33bAAAABAEAAA8AAAAAAAAAAAAAAAAA+gMAAGRycy9kb3ducmV2LnhtbFBLBQYAAAAABAAEAPMA&#10;AAACBQAAAAA=&#10;" strokecolor="#4579b8 [3044]">
                <w10:wrap anchorx="margin"/>
              </v:line>
            </w:pict>
          </mc:Fallback>
        </mc:AlternateContent>
      </w:r>
    </w:p>
    <w:p w14:paraId="4AD99B22" w14:textId="6180375D" w:rsidR="00685473" w:rsidRDefault="001754D8" w:rsidP="007D4F16">
      <w:pPr>
        <w:rPr>
          <w:b/>
          <w:sz w:val="22"/>
        </w:rPr>
      </w:pPr>
      <w:r>
        <w:rPr>
          <w:noProof/>
        </w:rPr>
        <mc:AlternateContent>
          <mc:Choice Requires="wps">
            <w:drawing>
              <wp:anchor distT="0" distB="0" distL="114300" distR="114300" simplePos="0" relativeHeight="251932672" behindDoc="0" locked="0" layoutInCell="1" allowOverlap="1" wp14:anchorId="282BA636" wp14:editId="770B089C">
                <wp:simplePos x="0" y="0"/>
                <wp:positionH relativeFrom="column">
                  <wp:posOffset>4813300</wp:posOffset>
                </wp:positionH>
                <wp:positionV relativeFrom="paragraph">
                  <wp:posOffset>66040</wp:posOffset>
                </wp:positionV>
                <wp:extent cx="1482090" cy="487045"/>
                <wp:effectExtent l="0" t="0" r="22860" b="27305"/>
                <wp:wrapNone/>
                <wp:docPr id="44" name="Rectangle 22"/>
                <wp:cNvGraphicFramePr/>
                <a:graphic xmlns:a="http://schemas.openxmlformats.org/drawingml/2006/main">
                  <a:graphicData uri="http://schemas.microsoft.com/office/word/2010/wordprocessingShape">
                    <wps:wsp>
                      <wps:cNvSpPr/>
                      <wps:spPr>
                        <a:xfrm>
                          <a:off x="0" y="0"/>
                          <a:ext cx="1482090" cy="4870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6DBD1F" w14:textId="77777777" w:rsidR="00685473" w:rsidRDefault="00685473" w:rsidP="00685473">
                            <w:pPr>
                              <w:jc w:val="center"/>
                              <w:rPr>
                                <w:rFonts w:asciiTheme="minorHAnsi" w:hAnsi="Calibri" w:cstheme="minorBidi"/>
                                <w:color w:val="FFFFFF" w:themeColor="light1"/>
                                <w:kern w:val="24"/>
                                <w:sz w:val="21"/>
                                <w:szCs w:val="21"/>
                              </w:rPr>
                            </w:pPr>
                            <w:r>
                              <w:rPr>
                                <w:rFonts w:asciiTheme="minorHAnsi" w:hAnsi="Calibri" w:cstheme="minorBidi"/>
                                <w:color w:val="FFFFFF" w:themeColor="light1"/>
                                <w:kern w:val="24"/>
                                <w:sz w:val="21"/>
                                <w:szCs w:val="21"/>
                              </w:rPr>
                              <w:t xml:space="preserve">IPC Assurance Lead </w:t>
                            </w:r>
                          </w:p>
                          <w:p w14:paraId="6CFD28EC" w14:textId="248667B8" w:rsidR="00685473" w:rsidRDefault="00685473" w:rsidP="00685473">
                            <w:pPr>
                              <w:rPr>
                                <w:rFonts w:asciiTheme="minorHAnsi" w:hAnsi="Calibri" w:cstheme="minorBidi"/>
                                <w:color w:val="FFFFFF" w:themeColor="light1"/>
                                <w:kern w:val="24"/>
                                <w:sz w:val="21"/>
                                <w:szCs w:val="21"/>
                              </w:rPr>
                            </w:pPr>
                          </w:p>
                        </w:txbxContent>
                      </wps:txbx>
                      <wps:bodyPr wrap="square" rtlCol="0" anchor="ctr"/>
                    </wps:wsp>
                  </a:graphicData>
                </a:graphic>
                <wp14:sizeRelH relativeFrom="margin">
                  <wp14:pctWidth>0</wp14:pctWidth>
                </wp14:sizeRelH>
              </wp:anchor>
            </w:drawing>
          </mc:Choice>
          <mc:Fallback>
            <w:pict>
              <v:rect w14:anchorId="282BA636" id="Rectangle 22" o:spid="_x0000_s1029" style="position:absolute;margin-left:379pt;margin-top:5.2pt;width:116.7pt;height:38.35pt;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bK2AEAAPQDAAAOAAAAZHJzL2Uyb0RvYy54bWysU8tu2zAQvBfoPxC815Jdp3UNyzkkaC9F&#10;GzTtB9DU0iLAV5eMJf99l5QiB02QQ1EdKD52ZmeHy931YA07AUbtXcOXi5ozcNK32h0b/uvn53cb&#10;zmISrhXGO2j4GSK/3r99s+vDFla+86YFZETi4rYPDe9SCtuqirIDK+LCB3B0qDxakWiJx6pF0RO7&#10;NdWqrj9Uvcc2oJcQI+3ejod8X/iVApm+KxUhMdNw0pbKiGU85LHa78T2iCJ0Wk4yxD+osEI7SjpT&#10;3Yok2APqZ1RWS/TRq7SQ3lZeKS2h1EDVLOu/qrnvRIBSC5kTw2xT/H+08tvpPtwh2dCHuI00zVUM&#10;Cm3+kz42FLPOs1kwJCZpc7nerOpP5Kmks/XmY72+ym5WF3TAmL6AtyxPGo50GcUjcfoa0xj6GEK4&#10;S/4yS2cDWYJxP0Ax3VLGVUGX1oAbg+wk6FKFlODScjzqRAvj9lVN36RnRhR1hTAzK23MzD0R5LZ7&#10;zj1qneIzFEpnzeD6NWEjeEaUzN6lGWy18/gSgaGqpsxj/KNJozXZpTQcBvKm4e9zZN45+PZ8h6yn&#10;jm54/P0gEDjDZG78+ACEk52n/pcJC3nGUGsVZ6ZnkHv36bqkvTzW/R8AAAD//wMAUEsDBBQABgAI&#10;AAAAIQArV6EE3QAAAAkBAAAPAAAAZHJzL2Rvd25yZXYueG1sTI/BTsMwEETvSPyDtUjcqBNUiJvG&#10;qRASQuKCaPkAN94mAXsdxU4T+HqWE9x2NKPZN9Vu8U6ccYx9IA35KgOB1ATbU6vh/fB0o0DEZMga&#10;Fwg1fGGEXX15UZnShpne8LxPreASiqXR0KU0lFLGpkNv4ioMSOydwuhNYjm20o5m5nLv5G2W3Utv&#10;euIPnRnwscPmcz95DSF/TS+HeT0RzuOz6j8a910ora+vloctiIRL+gvDLz6jQ81MxzCRjcJpKO4U&#10;b0lsZGsQHNhscj6OGlSRg6wr+X9B/QMAAP//AwBQSwECLQAUAAYACAAAACEAtoM4kv4AAADhAQAA&#10;EwAAAAAAAAAAAAAAAAAAAAAAW0NvbnRlbnRfVHlwZXNdLnhtbFBLAQItABQABgAIAAAAIQA4/SH/&#10;1gAAAJQBAAALAAAAAAAAAAAAAAAAAC8BAABfcmVscy8ucmVsc1BLAQItABQABgAIAAAAIQAj+0bK&#10;2AEAAPQDAAAOAAAAAAAAAAAAAAAAAC4CAABkcnMvZTJvRG9jLnhtbFBLAQItABQABgAIAAAAIQAr&#10;V6EE3QAAAAkBAAAPAAAAAAAAAAAAAAAAADIEAABkcnMvZG93bnJldi54bWxQSwUGAAAAAAQABADz&#10;AAAAPAUAAAAA&#10;" fillcolor="#4f81bd [3204]" strokecolor="#243f60 [1604]" strokeweight="2pt">
                <v:textbox>
                  <w:txbxContent>
                    <w:p w14:paraId="606DBD1F" w14:textId="77777777" w:rsidR="00685473" w:rsidRDefault="00685473" w:rsidP="00685473">
                      <w:pPr>
                        <w:jc w:val="center"/>
                        <w:rPr>
                          <w:rFonts w:asciiTheme="minorHAnsi" w:hAnsi="Calibri" w:cstheme="minorBidi"/>
                          <w:color w:val="FFFFFF" w:themeColor="light1"/>
                          <w:kern w:val="24"/>
                          <w:sz w:val="21"/>
                          <w:szCs w:val="21"/>
                        </w:rPr>
                      </w:pPr>
                      <w:r>
                        <w:rPr>
                          <w:rFonts w:asciiTheme="minorHAnsi" w:hAnsi="Calibri" w:cstheme="minorBidi"/>
                          <w:color w:val="FFFFFF" w:themeColor="light1"/>
                          <w:kern w:val="24"/>
                          <w:sz w:val="21"/>
                          <w:szCs w:val="21"/>
                        </w:rPr>
                        <w:t xml:space="preserve">IPC Assurance Lead </w:t>
                      </w:r>
                    </w:p>
                    <w:p w14:paraId="6CFD28EC" w14:textId="248667B8" w:rsidR="00685473" w:rsidRDefault="00685473" w:rsidP="00685473">
                      <w:pPr>
                        <w:rPr>
                          <w:rFonts w:asciiTheme="minorHAnsi" w:hAnsi="Calibri" w:cstheme="minorBidi"/>
                          <w:color w:val="FFFFFF" w:themeColor="light1"/>
                          <w:kern w:val="24"/>
                          <w:sz w:val="21"/>
                          <w:szCs w:val="21"/>
                        </w:rPr>
                      </w:pPr>
                    </w:p>
                  </w:txbxContent>
                </v:textbox>
              </v:rect>
            </w:pict>
          </mc:Fallback>
        </mc:AlternateContent>
      </w:r>
      <w:r>
        <w:rPr>
          <w:noProof/>
        </w:rPr>
        <mc:AlternateContent>
          <mc:Choice Requires="wps">
            <w:drawing>
              <wp:anchor distT="0" distB="0" distL="114300" distR="114300" simplePos="0" relativeHeight="251930624" behindDoc="0" locked="0" layoutInCell="1" allowOverlap="1" wp14:anchorId="0B7F4A71" wp14:editId="1A33FC16">
                <wp:simplePos x="0" y="0"/>
                <wp:positionH relativeFrom="column">
                  <wp:posOffset>3060700</wp:posOffset>
                </wp:positionH>
                <wp:positionV relativeFrom="paragraph">
                  <wp:posOffset>53340</wp:posOffset>
                </wp:positionV>
                <wp:extent cx="1513840" cy="499745"/>
                <wp:effectExtent l="0" t="0" r="10160" b="14605"/>
                <wp:wrapNone/>
                <wp:docPr id="43" name="Rectangle 22"/>
                <wp:cNvGraphicFramePr/>
                <a:graphic xmlns:a="http://schemas.openxmlformats.org/drawingml/2006/main">
                  <a:graphicData uri="http://schemas.microsoft.com/office/word/2010/wordprocessingShape">
                    <wps:wsp>
                      <wps:cNvSpPr/>
                      <wps:spPr>
                        <a:xfrm>
                          <a:off x="0" y="0"/>
                          <a:ext cx="1513840" cy="4997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092019" w14:textId="47F594D0" w:rsidR="00685473" w:rsidRDefault="00685473" w:rsidP="00685473">
                            <w:pPr>
                              <w:jc w:val="center"/>
                              <w:rPr>
                                <w:rFonts w:asciiTheme="minorHAnsi" w:hAnsi="Calibri" w:cstheme="minorBidi"/>
                                <w:color w:val="FFFFFF" w:themeColor="light1"/>
                                <w:kern w:val="24"/>
                                <w:sz w:val="21"/>
                                <w:szCs w:val="21"/>
                              </w:rPr>
                            </w:pPr>
                            <w:r>
                              <w:rPr>
                                <w:rFonts w:asciiTheme="minorHAnsi" w:hAnsi="Calibri" w:cstheme="minorBidi"/>
                                <w:color w:val="FFFFFF" w:themeColor="light1"/>
                                <w:kern w:val="24"/>
                                <w:sz w:val="21"/>
                                <w:szCs w:val="21"/>
                              </w:rPr>
                              <w:t>IPC Nurse Specialist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B7F4A71" id="_x0000_s1030" style="position:absolute;margin-left:241pt;margin-top:4.2pt;width:119.2pt;height:39.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JP4gEAAA4EAAAOAAAAZHJzL2Uyb0RvYy54bWysU8tu2zAQvBfoPxC815Jcu00My0GRoL0U&#10;bZC0H0BTS4sAxWVJ2pL/vktKkYum6CGIDhQfO7Ozw+X2ZugMO4EPGm3Nq0XJGViJjbaHmv/88fnd&#10;FWchCtsIgxZqfobAb3Zv32x7t4Eltmga8IxIbNj0ruZtjG5TFEG20ImwQAeWDhX6TkRa+kPReNET&#10;e2eKZVl+KHr0jfMoIQTavRsP+S7zKwUyflcqQGSm5qQt5tHncZ/GYrcVm4MXrtVykiFeoKIT2lLS&#10;mepORMGOXj+j6rT0GFDFhcSuQKW0hFwDVVOVf1Xz2AoHuRYyJ7jZpvB6tPLb6dHde7Khd2ETaJqq&#10;GJTv0p/0sSGbdZ7NgiEySZvVunp/tSJPJZ2trq8/rtbJzeKCdj7EL4AdS5Oae7qM7JE4fQ1xDH0K&#10;Idwlf57Fs4EkwdgHUEw3lHGZ0bk14NZ4dhJ0qUJKsLEaj1rRwLi9Lumb9MyIrC4TJmaljZm5J4LU&#10;ds+5R61TfIJC7qwZXP5P2AieETkz2jiDO23R/4vAUFVT5jH+yaTRmuRSHPYDeUP+p8i0s8fmfO9Z&#10;Tx1d8/DrKDxw5qO5xfEBCCtbpP6Xccxp8dMxotL5Pi4EUypquuzZ9EBSV/+5zlGXZ7z7DQAA//8D&#10;AFBLAwQUAAYACAAAACEA5V2PCNsAAAAIAQAADwAAAGRycy9kb3ducmV2LnhtbEyPQUvEMBCF74L/&#10;IYzgzU1big216SKCCF7EXX9AthnbajMpSbqt/nrHk97m8R5vvtfsNzeJM4Y4etKQ7zIQSJ23I/Ua&#10;3o6PNwpETIasmTyhhi+MsG8vLxpTW7/SK54PqRdcQrE2GoaU5lrK2A3oTNz5GYm9dx+cSSxDL20w&#10;K5e7SRZZdiudGYk/DGbGhwG7z8PiNPj8JT0f13IhXMOTGj+66btSWl9fbfd3IBJu6S8Mv/iMDi0z&#10;nfxCNopJQ6kK3pI0qBIE+1WR8XFiXeUg20b+H9D+AAAA//8DAFBLAQItABQABgAIAAAAIQC2gziS&#10;/gAAAOEBAAATAAAAAAAAAAAAAAAAAAAAAABbQ29udGVudF9UeXBlc10ueG1sUEsBAi0AFAAGAAgA&#10;AAAhADj9If/WAAAAlAEAAAsAAAAAAAAAAAAAAAAALwEAAF9yZWxzLy5yZWxzUEsBAi0AFAAGAAgA&#10;AAAhAA4Hsk/iAQAADgQAAA4AAAAAAAAAAAAAAAAALgIAAGRycy9lMm9Eb2MueG1sUEsBAi0AFAAG&#10;AAgAAAAhAOVdjwjbAAAACAEAAA8AAAAAAAAAAAAAAAAAPAQAAGRycy9kb3ducmV2LnhtbFBLBQYA&#10;AAAABAAEAPMAAABEBQAAAAA=&#10;" fillcolor="#4f81bd [3204]" strokecolor="#243f60 [1604]" strokeweight="2pt">
                <v:textbox>
                  <w:txbxContent>
                    <w:p w14:paraId="55092019" w14:textId="47F594D0" w:rsidR="00685473" w:rsidRDefault="00685473" w:rsidP="00685473">
                      <w:pPr>
                        <w:jc w:val="center"/>
                        <w:rPr>
                          <w:rFonts w:asciiTheme="minorHAnsi" w:hAnsi="Calibri" w:cstheme="minorBidi"/>
                          <w:color w:val="FFFFFF" w:themeColor="light1"/>
                          <w:kern w:val="24"/>
                          <w:sz w:val="21"/>
                          <w:szCs w:val="21"/>
                        </w:rPr>
                      </w:pPr>
                      <w:r>
                        <w:rPr>
                          <w:rFonts w:asciiTheme="minorHAnsi" w:hAnsi="Calibri" w:cstheme="minorBidi"/>
                          <w:color w:val="FFFFFF" w:themeColor="light1"/>
                          <w:kern w:val="24"/>
                          <w:sz w:val="21"/>
                          <w:szCs w:val="21"/>
                        </w:rPr>
                        <w:t>IPC Nurse Specialist</w:t>
                      </w:r>
                    </w:p>
                  </w:txbxContent>
                </v:textbox>
              </v:rect>
            </w:pict>
          </mc:Fallback>
        </mc:AlternateContent>
      </w:r>
    </w:p>
    <w:p w14:paraId="2E164C39" w14:textId="5F31BFC5" w:rsidR="00685473" w:rsidRDefault="001754D8" w:rsidP="007D4F16">
      <w:pPr>
        <w:rPr>
          <w:b/>
          <w:sz w:val="22"/>
        </w:rPr>
      </w:pPr>
      <w:r>
        <w:rPr>
          <w:b/>
          <w:noProof/>
          <w:sz w:val="22"/>
        </w:rPr>
        <mc:AlternateContent>
          <mc:Choice Requires="wps">
            <w:drawing>
              <wp:anchor distT="0" distB="0" distL="114300" distR="114300" simplePos="0" relativeHeight="251945984" behindDoc="0" locked="0" layoutInCell="1" allowOverlap="1" wp14:anchorId="1296C063" wp14:editId="3DABD228">
                <wp:simplePos x="0" y="0"/>
                <wp:positionH relativeFrom="column">
                  <wp:posOffset>4574540</wp:posOffset>
                </wp:positionH>
                <wp:positionV relativeFrom="paragraph">
                  <wp:posOffset>38735</wp:posOffset>
                </wp:positionV>
                <wp:extent cx="251460" cy="0"/>
                <wp:effectExtent l="0" t="0" r="0" b="0"/>
                <wp:wrapNone/>
                <wp:docPr id="62" name="Straight Connector 62"/>
                <wp:cNvGraphicFramePr/>
                <a:graphic xmlns:a="http://schemas.openxmlformats.org/drawingml/2006/main">
                  <a:graphicData uri="http://schemas.microsoft.com/office/word/2010/wordprocessingShape">
                    <wps:wsp>
                      <wps:cNvCnPr/>
                      <wps:spPr>
                        <a:xfrm>
                          <a:off x="0" y="0"/>
                          <a:ext cx="2514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6E6627" id="Straight Connector 62" o:spid="_x0000_s1026" style="position:absolute;z-index:251945984;visibility:visible;mso-wrap-style:square;mso-wrap-distance-left:9pt;mso-wrap-distance-top:0;mso-wrap-distance-right:9pt;mso-wrap-distance-bottom:0;mso-position-horizontal:absolute;mso-position-horizontal-relative:text;mso-position-vertical:absolute;mso-position-vertical-relative:text" from="360.2pt,3.05pt" to="380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n7FmwEAAJMDAAAOAAAAZHJzL2Uyb0RvYy54bWysU8tu2zAQvBfoPxC815KMNCgEyz4kSC5F&#10;G7TpBzDU0iJAcgmSseS/75K25SAJECTIheJjZ3ZndrXaTNawHYSo0XW8WdScgZPYa7ft+L/7m28/&#10;OItJuF4YdNDxPUS+WX/9shp9C0sc0PQQGJG42I6+40NKvq2qKAewIi7Qg6NHhcGKRMewrfogRmK3&#10;plrW9WU1Yuh9QAkx0u314ZGvC79SINNvpSIkZjpOtaWyhrI+5LVar0S7DcIPWh7LEB+owgrtKOlM&#10;dS2SYI9Bv6CyWgaMqNJCoq1QKS2haCA1Tf1Mzd9BeChayJzoZ5vi59HKX7srdxfIhtHHNvq7kFVM&#10;Ktj8pfrYVMzaz2bBlJiky+X35uKSLJWnp+qM8yGmW0DL8qbjRrssQ7Ri9zMmykWhpxA6nDOXXdob&#10;yMHG/QHFdE+5moIuQwFXJrCdoHYKKcGlJreQ+Ep0hiltzAys3wYe4zMUysC8BzwjSmZ0aQZb7TC8&#10;lj1Np5LVIf7kwEF3tuAB+33pSbGGOl8UHqc0j9bTc4Gf/6X1fwAAAP//AwBQSwMEFAAGAAgAAAAh&#10;ANUYQ3DeAAAABwEAAA8AAABkcnMvZG93bnJldi54bWxMj8FOwzAQRO9I/IO1SFwQtVu1aRXiVIBU&#10;9QAI0fABbrwkEfE6ip005etZuMBxNKOZN9l2cq0YsQ+NJw3zmQKBVHrbUKXhvdjdbkCEaMia1hNq&#10;OGOAbX55kZnU+hO94XiIleASCqnRUMfYpVKGskZnwsx3SOx9+N6ZyLKvpO3NictdKxdKJdKZhnih&#10;Nh0+1lh+HganYb97wKfVeaiWdrUvbsbi+eXrdaP19dV0fwci4hT/wvCDz+iQM9PRD2SDaDWsF2rJ&#10;UQ3JHAT760Txt+Ovlnkm//Pn3wAAAP//AwBQSwECLQAUAAYACAAAACEAtoM4kv4AAADhAQAAEwAA&#10;AAAAAAAAAAAAAAAAAAAAW0NvbnRlbnRfVHlwZXNdLnhtbFBLAQItABQABgAIAAAAIQA4/SH/1gAA&#10;AJQBAAALAAAAAAAAAAAAAAAAAC8BAABfcmVscy8ucmVsc1BLAQItABQABgAIAAAAIQCl8n7FmwEA&#10;AJMDAAAOAAAAAAAAAAAAAAAAAC4CAABkcnMvZTJvRG9jLnhtbFBLAQItABQABgAIAAAAIQDVGENw&#10;3gAAAAcBAAAPAAAAAAAAAAAAAAAAAPUDAABkcnMvZG93bnJldi54bWxQSwUGAAAAAAQABADzAAAA&#10;AAUAAAAA&#10;" strokecolor="#4579b8 [3044]"/>
            </w:pict>
          </mc:Fallback>
        </mc:AlternateContent>
      </w:r>
      <w:r>
        <w:rPr>
          <w:b/>
          <w:noProof/>
          <w:sz w:val="22"/>
        </w:rPr>
        <mc:AlternateContent>
          <mc:Choice Requires="wps">
            <w:drawing>
              <wp:anchor distT="0" distB="0" distL="114300" distR="114300" simplePos="0" relativeHeight="251944960" behindDoc="0" locked="0" layoutInCell="1" allowOverlap="1" wp14:anchorId="2E044A9E" wp14:editId="3800E55B">
                <wp:simplePos x="0" y="0"/>
                <wp:positionH relativeFrom="column">
                  <wp:posOffset>2851150</wp:posOffset>
                </wp:positionH>
                <wp:positionV relativeFrom="paragraph">
                  <wp:posOffset>32385</wp:posOffset>
                </wp:positionV>
                <wp:extent cx="215900" cy="0"/>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21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59C4F" id="Straight Connector 61" o:spid="_x0000_s1026" style="position:absolute;z-index:251944960;visibility:visible;mso-wrap-style:square;mso-wrap-distance-left:9pt;mso-wrap-distance-top:0;mso-wrap-distance-right:9pt;mso-wrap-distance-bottom:0;mso-position-horizontal:absolute;mso-position-horizontal-relative:text;mso-position-vertical:absolute;mso-position-vertical-relative:text" from="224.5pt,2.55pt" to="24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mQEAAJMDAAAOAAAAZHJzL2Uyb0RvYy54bWysU8uu0zAQ3SPxD5b3NEklEERN7+JewQbB&#10;FY8P8HXGjSXbY41Nk/49Y7dNESAhEBvHjzln5pyZ7O4W78QRKFkMg+w2rRQQNI42HAb59cvbF6+l&#10;SFmFUTkMMMgTJHm3f/5sN8cetjihG4EEk4TUz3GQU86xb5qkJ/AqbTBC4EeD5FXmIx2akdTM7N41&#10;27Z91cxIYyTUkBLfPpwf5b7yGwM6fzQmQRZukFxbrivV9amszX6n+gOpOFl9KUP9QxVe2cBJV6oH&#10;lZX4RvYXKm81YUKTNxp9g8ZYDVUDq+nan9R8nlSEqoXNSXG1Kf0/Wv3heB8eiW2YY+pTfKSiYjHk&#10;y5frE0s167SaBUsWmi+33cs3LVuqr0/NDRcp5XeAXpTNIJ0NRYbq1fF9ypyLQ68hfLhlrrt8clCC&#10;XfgERtiRc3UVXYcC7h2Jo+J2Kq0h5K60kPlqdIEZ69wKbP8MvMQXKNSB+RvwiqiZMeQV7G1A+l32&#10;vFxLNuf4qwNn3cWCJxxPtSfVGu58VXiZ0jJaP54r/PYv7b8DAAD//wMAUEsDBBQABgAIAAAAIQCq&#10;M9Sd3QAAAAcBAAAPAAAAZHJzL2Rvd25yZXYueG1sTI/RToNAEEXfTfyHzZj4YtqlCgaRpVGTpg9q&#10;jKUfsGVHILKzhF0o9esdfdHHkzu590y+nm0nJhx860jBahmBQKqcaalWsC83ixSED5qM7hyhghN6&#10;WBfnZ7nOjDvSO067UAsuIZ9pBU0IfSalrxq02i9dj8TZhxusDoxDLc2gj1xuO3kdRbfS6pZ4odE9&#10;PjVYfe5Gq2C7ecTn5DTWsUm25dVUvrx+vaVKXV7MD/cgAs7h7xh+9FkdCnY6uJGMF52COL7jX4KC&#10;ZAWC8zi9YT78sixy+d+/+AYAAP//AwBQSwECLQAUAAYACAAAACEAtoM4kv4AAADhAQAAEwAAAAAA&#10;AAAAAAAAAAAAAAAAW0NvbnRlbnRfVHlwZXNdLnhtbFBLAQItABQABgAIAAAAIQA4/SH/1gAAAJQB&#10;AAALAAAAAAAAAAAAAAAAAC8BAABfcmVscy8ucmVsc1BLAQItABQABgAIAAAAIQD/+WnomQEAAJMD&#10;AAAOAAAAAAAAAAAAAAAAAC4CAABkcnMvZTJvRG9jLnhtbFBLAQItABQABgAIAAAAIQCqM9Sd3QAA&#10;AAcBAAAPAAAAAAAAAAAAAAAAAPMDAABkcnMvZG93bnJldi54bWxQSwUGAAAAAAQABADzAAAA/QQA&#10;AAAA&#10;" strokecolor="#4579b8 [3044]"/>
            </w:pict>
          </mc:Fallback>
        </mc:AlternateContent>
      </w:r>
    </w:p>
    <w:p w14:paraId="73A862B7" w14:textId="0856A09F" w:rsidR="00685473" w:rsidRDefault="001754D8" w:rsidP="007D4F16">
      <w:pPr>
        <w:rPr>
          <w:b/>
          <w:sz w:val="22"/>
        </w:rPr>
      </w:pPr>
      <w:r>
        <w:rPr>
          <w:noProof/>
        </w:rPr>
        <mc:AlternateContent>
          <mc:Choice Requires="wps">
            <w:drawing>
              <wp:anchor distT="0" distB="0" distL="114300" distR="114300" simplePos="0" relativeHeight="251934720" behindDoc="0" locked="0" layoutInCell="1" allowOverlap="1" wp14:anchorId="23BFD60D" wp14:editId="447A15F8">
                <wp:simplePos x="0" y="0"/>
                <wp:positionH relativeFrom="column">
                  <wp:posOffset>-393700</wp:posOffset>
                </wp:positionH>
                <wp:positionV relativeFrom="paragraph">
                  <wp:posOffset>78105</wp:posOffset>
                </wp:positionV>
                <wp:extent cx="1326476" cy="487454"/>
                <wp:effectExtent l="0" t="0" r="26670" b="27305"/>
                <wp:wrapNone/>
                <wp:docPr id="45" name="Rectangle 31"/>
                <wp:cNvGraphicFramePr/>
                <a:graphic xmlns:a="http://schemas.openxmlformats.org/drawingml/2006/main">
                  <a:graphicData uri="http://schemas.microsoft.com/office/word/2010/wordprocessingShape">
                    <wps:wsp>
                      <wps:cNvSpPr/>
                      <wps:spPr>
                        <a:xfrm>
                          <a:off x="0" y="0"/>
                          <a:ext cx="1326476" cy="48745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5F600F" w14:textId="77777777" w:rsidR="00685473" w:rsidRDefault="00685473" w:rsidP="00685473">
                            <w:pPr>
                              <w:jc w:val="center"/>
                              <w:rPr>
                                <w:rFonts w:asciiTheme="minorHAnsi" w:hAnsi="Calibri" w:cstheme="minorBidi"/>
                                <w:color w:val="FFFFFF" w:themeColor="light1"/>
                                <w:kern w:val="24"/>
                                <w:sz w:val="21"/>
                                <w:szCs w:val="21"/>
                              </w:rPr>
                            </w:pPr>
                            <w:r>
                              <w:rPr>
                                <w:rFonts w:asciiTheme="minorHAnsi" w:hAnsi="Calibri" w:cstheme="minorBidi"/>
                                <w:color w:val="FFFFFF" w:themeColor="light1"/>
                                <w:kern w:val="24"/>
                                <w:sz w:val="21"/>
                                <w:szCs w:val="21"/>
                              </w:rPr>
                              <w:t xml:space="preserve">SSI Nurse </w:t>
                            </w:r>
                          </w:p>
                          <w:p w14:paraId="20F51B3C" w14:textId="520BAF5C" w:rsidR="00685473" w:rsidRDefault="00685473" w:rsidP="00685473">
                            <w:pPr>
                              <w:rPr>
                                <w:rFonts w:asciiTheme="minorHAnsi" w:hAnsi="Calibri" w:cstheme="minorBidi"/>
                                <w:color w:val="FFFFFF" w:themeColor="light1"/>
                                <w:kern w:val="24"/>
                                <w:sz w:val="21"/>
                                <w:szCs w:val="21"/>
                              </w:rPr>
                            </w:pPr>
                          </w:p>
                        </w:txbxContent>
                      </wps:txbx>
                      <wps:bodyPr rtlCol="0" anchor="ctr"/>
                    </wps:wsp>
                  </a:graphicData>
                </a:graphic>
              </wp:anchor>
            </w:drawing>
          </mc:Choice>
          <mc:Fallback>
            <w:pict>
              <v:rect w14:anchorId="23BFD60D" id="Rectangle 31" o:spid="_x0000_s1031" style="position:absolute;margin-left:-31pt;margin-top:6.15pt;width:104.45pt;height:38.4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qzgEAAOYDAAAOAAAAZHJzL2Uyb0RvYy54bWysU8tu2zAQvBfoPxC815Jd2wkMyzkkaC9F&#10;GzTtB9DU0iLAF5asJf99l5QiB03RQxEdKHK5Mzs7Wu3vBmvYGTBq7xq+XNScgZO+1e7U8J8/Pn24&#10;5Swm4VphvIOGXyDyu8P7d/s+7GDlO29aQEYkLu760PAupbCrqig7sCIufABHl8qjFYmOeKpaFD2x&#10;W1Ot6npb9R7bgF5CjBR9GC/5ofArBTJ9UypCYqbhpC2VFct6zGt12IvdCUXotJxkiP9QYYV2VHSm&#10;ehBJsF+oX1FZLdFHr9JCelt5pbSE0gN1s6z/6OapEwFKL2RODLNN8e1o5dfzU3hEsqEPcRdpm7sY&#10;FNr8Jn1sKGZdZrNgSExScPlxtV3fbDmTdLe+vVlv1tnN6ooOGNNn8JblTcORPkbxSJy/xDSmPqcQ&#10;7lq/7NLFQJZg3HdQTLdUcVXQZTTg3iA7C/qoQkpwaTledaKFMbyp6Zn0zIiirhBmZqWNmbkngjx2&#10;r7lHrVN+hkKZrBlc/0vYCJ4RpbJ3aQZb7Tz+jcBQV1PlMf/ZpNGa7FIajgN50/BNzsyRo28vj8gw&#10;mXs/jrxwsvM08TJhoctZNEzFi2nw87S+PJdC19/z8BsAAP//AwBQSwMEFAAGAAgAAAAhAG9h4f7e&#10;AAAACQEAAA8AAABkcnMvZG93bnJldi54bWxMj8FOwzAQRO9I/IO1SNxaJ6EKaYhTVZUQEhdEywe4&#10;8ZKktdeR7TSBr8c90eNoRjNvqs1sNLug870lAekyAYbUWNVTK+Dr8LoogPkgSUltCQX8oIdNfX9X&#10;yVLZiT7xsg8tiyXkSymgC2EoOfdNh0b6pR2QovdtnZEhStdy5eQUy43mWZLk3Mie4kInB9x12Jz3&#10;oxFg04/wfphWI+Hk3or+1Ojf50KIx4d5+wIs4Bz+w3DFj+hQR6ajHUl5pgUs8ix+CdHInoBdA6t8&#10;DewooFinwOuK3z6o/wAAAP//AwBQSwECLQAUAAYACAAAACEAtoM4kv4AAADhAQAAEwAAAAAAAAAA&#10;AAAAAAAAAAAAW0NvbnRlbnRfVHlwZXNdLnhtbFBLAQItABQABgAIAAAAIQA4/SH/1gAAAJQBAAAL&#10;AAAAAAAAAAAAAAAAAC8BAABfcmVscy8ucmVsc1BLAQItABQABgAIAAAAIQCRwD+qzgEAAOYDAAAO&#10;AAAAAAAAAAAAAAAAAC4CAABkcnMvZTJvRG9jLnhtbFBLAQItABQABgAIAAAAIQBvYeH+3gAAAAkB&#10;AAAPAAAAAAAAAAAAAAAAACgEAABkcnMvZG93bnJldi54bWxQSwUGAAAAAAQABADzAAAAMwUAAAAA&#10;" fillcolor="#4f81bd [3204]" strokecolor="#243f60 [1604]" strokeweight="2pt">
                <v:textbox>
                  <w:txbxContent>
                    <w:p w14:paraId="775F600F" w14:textId="77777777" w:rsidR="00685473" w:rsidRDefault="00685473" w:rsidP="00685473">
                      <w:pPr>
                        <w:jc w:val="center"/>
                        <w:rPr>
                          <w:rFonts w:asciiTheme="minorHAnsi" w:hAnsi="Calibri" w:cstheme="minorBidi"/>
                          <w:color w:val="FFFFFF" w:themeColor="light1"/>
                          <w:kern w:val="24"/>
                          <w:sz w:val="21"/>
                          <w:szCs w:val="21"/>
                        </w:rPr>
                      </w:pPr>
                      <w:r>
                        <w:rPr>
                          <w:rFonts w:asciiTheme="minorHAnsi" w:hAnsi="Calibri" w:cstheme="minorBidi"/>
                          <w:color w:val="FFFFFF" w:themeColor="light1"/>
                          <w:kern w:val="24"/>
                          <w:sz w:val="21"/>
                          <w:szCs w:val="21"/>
                        </w:rPr>
                        <w:t xml:space="preserve">SSI Nurse </w:t>
                      </w:r>
                    </w:p>
                    <w:p w14:paraId="20F51B3C" w14:textId="520BAF5C" w:rsidR="00685473" w:rsidRDefault="00685473" w:rsidP="00685473">
                      <w:pPr>
                        <w:rPr>
                          <w:rFonts w:asciiTheme="minorHAnsi" w:hAnsi="Calibri" w:cstheme="minorBidi"/>
                          <w:color w:val="FFFFFF" w:themeColor="light1"/>
                          <w:kern w:val="24"/>
                          <w:sz w:val="21"/>
                          <w:szCs w:val="21"/>
                        </w:rPr>
                      </w:pPr>
                    </w:p>
                  </w:txbxContent>
                </v:textbox>
              </v:rect>
            </w:pict>
          </mc:Fallback>
        </mc:AlternateContent>
      </w:r>
      <w:r>
        <w:rPr>
          <w:noProof/>
        </w:rPr>
        <mc:AlternateContent>
          <mc:Choice Requires="wps">
            <w:drawing>
              <wp:anchor distT="0" distB="0" distL="114300" distR="114300" simplePos="0" relativeHeight="251936768" behindDoc="0" locked="0" layoutInCell="1" allowOverlap="1" wp14:anchorId="079D6094" wp14:editId="6AC95BC2">
                <wp:simplePos x="0" y="0"/>
                <wp:positionH relativeFrom="column">
                  <wp:posOffset>1149350</wp:posOffset>
                </wp:positionH>
                <wp:positionV relativeFrom="paragraph">
                  <wp:posOffset>79375</wp:posOffset>
                </wp:positionV>
                <wp:extent cx="1326476" cy="487454"/>
                <wp:effectExtent l="0" t="0" r="26670" b="27305"/>
                <wp:wrapNone/>
                <wp:docPr id="46" name="Rectangle 31"/>
                <wp:cNvGraphicFramePr/>
                <a:graphic xmlns:a="http://schemas.openxmlformats.org/drawingml/2006/main">
                  <a:graphicData uri="http://schemas.microsoft.com/office/word/2010/wordprocessingShape">
                    <wps:wsp>
                      <wps:cNvSpPr/>
                      <wps:spPr>
                        <a:xfrm>
                          <a:off x="0" y="0"/>
                          <a:ext cx="1326476" cy="48745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E59F33" w14:textId="7D174EBA" w:rsidR="00685473" w:rsidRDefault="00685473" w:rsidP="00685473">
                            <w:pPr>
                              <w:jc w:val="center"/>
                              <w:rPr>
                                <w:rFonts w:asciiTheme="minorHAnsi" w:hAnsi="Calibri" w:cstheme="minorBidi"/>
                                <w:color w:val="FFFFFF" w:themeColor="light1"/>
                                <w:kern w:val="24"/>
                                <w:sz w:val="21"/>
                                <w:szCs w:val="21"/>
                              </w:rPr>
                            </w:pPr>
                            <w:r>
                              <w:rPr>
                                <w:rFonts w:asciiTheme="minorHAnsi" w:hAnsi="Calibri" w:cstheme="minorBidi"/>
                                <w:color w:val="FFFFFF" w:themeColor="light1"/>
                                <w:kern w:val="24"/>
                                <w:sz w:val="21"/>
                                <w:szCs w:val="21"/>
                              </w:rPr>
                              <w:t>SSI Practitioner</w:t>
                            </w:r>
                          </w:p>
                        </w:txbxContent>
                      </wps:txbx>
                      <wps:bodyPr rtlCol="0" anchor="ctr"/>
                    </wps:wsp>
                  </a:graphicData>
                </a:graphic>
              </wp:anchor>
            </w:drawing>
          </mc:Choice>
          <mc:Fallback>
            <w:pict>
              <v:rect w14:anchorId="079D6094" id="_x0000_s1032" style="position:absolute;margin-left:90.5pt;margin-top:6.25pt;width:104.45pt;height:38.4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GzgEAAOYDAAAOAAAAZHJzL2Uyb0RvYy54bWysU02P0zAQvSPxHyzfadLS7a6ipnvYFVwQ&#10;rFj4Aa4zbiz5S2PTpP+esZNNEYs4IHJw7PG8N29eJvv70Rp2Bozau5avVzVn4KTvtDu1/Pu3D+/u&#10;OItJuE4Y76DlF4j8/vD2zX4IDWx8700HyIjExWYILe9TCk1VRdmDFXHlAzi6VB6tSHTEU9WhGIjd&#10;mmpT17tq8NgF9BJipOjjdMkPhV8pkOmLUhESMy0nbamsWNZjXqvDXjQnFKHXcpYh/kGFFdpR0YXq&#10;USTBfqB+RWW1RB+9SivpbeWV0hJKD9TNuv6tm+deBCi9kDkxLDbF/0crP5+fwxOSDUOITaRt7mJU&#10;aPOb9LGxmHVZzIIxMUnB9fvNbnu740zS3fbudnuzzW5WV3TAmD6CtyxvWo70MYpH4vwppin1JYVw&#10;1/plly4GsgTjvoJiuqOKm4IuowEPBtlZ0EcVUoJL6+mqFx1M4ZuanlnPgijqCmFmVtqYhXsmyGP3&#10;mnvSOudnKJTJWsD134RN4AVRKnuXFrDVzuOfCAx1NVee8l9MmqzJLqXxOJI3Ld/lzBw5+u7yhAyT&#10;efDTyAsne08TLxMWupxFw1S8mAc/T+uv51Lo+nsefgIAAP//AwBQSwMEFAAGAAgAAAAhAHTOe8Xe&#10;AAAACQEAAA8AAABkcnMvZG93bnJldi54bWxMj81OwzAQhO9IvIO1SNyok5YfJ8SpEBJC4oLa8gBu&#10;vCSBeB3ZThN4epYT3Ha0o5lvqu3iBnHCEHtPGvJVBgKp8banVsPb4elKgYjJkDWDJ9TwhRG29flZ&#10;ZUrrZ9rhaZ9awSEUS6OhS2kspYxNh87ElR+R+PfugzOJZWilDWbmcDfIdZbdSmd64obOjPjYYfO5&#10;n5wGn7+ml8N8PRHO4Vn1H83wfae0vrxYHu5BJFzSnxl+8RkdamY6+olsFANrlfOWxMf6BgQbNqoo&#10;QBw1qGIDsq7k/wX1DwAAAP//AwBQSwECLQAUAAYACAAAACEAtoM4kv4AAADhAQAAEwAAAAAAAAAA&#10;AAAAAAAAAAAAW0NvbnRlbnRfVHlwZXNdLnhtbFBLAQItABQABgAIAAAAIQA4/SH/1gAAAJQBAAAL&#10;AAAAAAAAAAAAAAAAAC8BAABfcmVscy8ucmVsc1BLAQItABQABgAIAAAAIQD/a3EGzgEAAOYDAAAO&#10;AAAAAAAAAAAAAAAAAC4CAABkcnMvZTJvRG9jLnhtbFBLAQItABQABgAIAAAAIQB0znvF3gAAAAkB&#10;AAAPAAAAAAAAAAAAAAAAACgEAABkcnMvZG93bnJldi54bWxQSwUGAAAAAAQABADzAAAAMwUAAAAA&#10;" fillcolor="#4f81bd [3204]" strokecolor="#243f60 [1604]" strokeweight="2pt">
                <v:textbox>
                  <w:txbxContent>
                    <w:p w14:paraId="1AE59F33" w14:textId="7D174EBA" w:rsidR="00685473" w:rsidRDefault="00685473" w:rsidP="00685473">
                      <w:pPr>
                        <w:jc w:val="center"/>
                        <w:rPr>
                          <w:rFonts w:asciiTheme="minorHAnsi" w:hAnsi="Calibri" w:cstheme="minorBidi"/>
                          <w:color w:val="FFFFFF" w:themeColor="light1"/>
                          <w:kern w:val="24"/>
                          <w:sz w:val="21"/>
                          <w:szCs w:val="21"/>
                        </w:rPr>
                      </w:pPr>
                      <w:r>
                        <w:rPr>
                          <w:rFonts w:asciiTheme="minorHAnsi" w:hAnsi="Calibri" w:cstheme="minorBidi"/>
                          <w:color w:val="FFFFFF" w:themeColor="light1"/>
                          <w:kern w:val="24"/>
                          <w:sz w:val="21"/>
                          <w:szCs w:val="21"/>
                        </w:rPr>
                        <w:t>SSI Practitioner</w:t>
                      </w:r>
                    </w:p>
                  </w:txbxContent>
                </v:textbox>
              </v:rect>
            </w:pict>
          </mc:Fallback>
        </mc:AlternateContent>
      </w:r>
    </w:p>
    <w:p w14:paraId="366A5987" w14:textId="7E5CAD87" w:rsidR="00685473" w:rsidRDefault="001754D8" w:rsidP="007D4F16">
      <w:pPr>
        <w:rPr>
          <w:b/>
          <w:sz w:val="22"/>
        </w:rPr>
      </w:pPr>
      <w:r>
        <w:rPr>
          <w:b/>
          <w:noProof/>
          <w:sz w:val="22"/>
        </w:rPr>
        <mc:AlternateContent>
          <mc:Choice Requires="wps">
            <w:drawing>
              <wp:anchor distT="0" distB="0" distL="114300" distR="114300" simplePos="0" relativeHeight="251949056" behindDoc="0" locked="0" layoutInCell="1" allowOverlap="1" wp14:anchorId="4C79ACE6" wp14:editId="322AAA9D">
                <wp:simplePos x="0" y="0"/>
                <wp:positionH relativeFrom="column">
                  <wp:posOffset>819150</wp:posOffset>
                </wp:positionH>
                <wp:positionV relativeFrom="paragraph">
                  <wp:posOffset>37465</wp:posOffset>
                </wp:positionV>
                <wp:extent cx="393700" cy="0"/>
                <wp:effectExtent l="0" t="0" r="0" b="0"/>
                <wp:wrapNone/>
                <wp:docPr id="193" name="Straight Connector 193"/>
                <wp:cNvGraphicFramePr/>
                <a:graphic xmlns:a="http://schemas.openxmlformats.org/drawingml/2006/main">
                  <a:graphicData uri="http://schemas.microsoft.com/office/word/2010/wordprocessingShape">
                    <wps:wsp>
                      <wps:cNvCnPr/>
                      <wps:spPr>
                        <a:xfrm flipH="1">
                          <a:off x="0" y="0"/>
                          <a:ext cx="3937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7E5E1C5" id="Straight Connector 193" o:spid="_x0000_s1026" style="position:absolute;flip:x;z-index:251949056;visibility:visible;mso-wrap-style:square;mso-wrap-distance-left:9pt;mso-wrap-distance-top:0;mso-wrap-distance-right:9pt;mso-wrap-distance-bottom:0;mso-position-horizontal:absolute;mso-position-horizontal-relative:text;mso-position-vertical:absolute;mso-position-vertical-relative:text" from="64.5pt,2.95pt" to="9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4qwQEAAHADAAAOAAAAZHJzL2Uyb0RvYy54bWysU9tu2zAMfR/QfxD03thJm60x4hRYg2wP&#10;uxTY9gGMLrYAWRJENU7+fpScZN32NuxFoEjxkOeQWj8eB8sOKqLxruXzWc2ZcsJL47qW//i+u33g&#10;DBM4CdY71fKTQv64uXmzHkOjFr73VqrICMRhM4aW9ymFpqpQ9GoAnPmgHAW1jwMkusaukhFGQh9s&#10;tajrt9XoowzRC4VI3u0U5JuCr7US6avWqBKzLafeUjljOff5rDZraLoIoTfi3Ab8QxcDGEdFr1Bb&#10;SMBeovkLajAievQ6zYQfKq+1EapwIDbz+g8233oIqnAhcTBcZcL/Byu+HJ7ccyQZxoANhueYWRx1&#10;HJi2JnykmRZe1Ck7FtlOV9nUMTFBzrvV3buaxBWXUDUhZKQQMX1QfmDZaLk1LhOCBg6fMFFVenp5&#10;kt3O74y1ZSjWsbHlq+ViSchAq6EtJDKHIFuOruMMbEc7J1IsiOitkTk742Ds9k82sgPQ3O93D/P3&#10;2+lRD1JN3tWypqZLKYT02cvJPa8vfmrtDFPa/A0/97wF7KecEspQlGJdrq/K6p0p/lI2W3svT0Xw&#10;Kt9orCXtvIJ5b17fyX79UTY/AQAA//8DAFBLAwQUAAYACAAAACEARKdeb9oAAAAHAQAADwAAAGRy&#10;cy9kb3ducmV2LnhtbEyPQUvDQBCF74L/YZmCN7tpQTExmxKEXFQQo5feNtkxmzY7G7LbNv33Tr3Y&#10;48cb3vsm38xuEEecQu9JwWqZgEBqvempU/D9Vd0/gQhRk9GDJ1RwxgCb4vYm15nxJ/rEYx07wSUU&#10;Mq3AxjhmUobWotNh6Uckzn785HRknDppJn3icjfIdZI8Sqd74gWrR3yx2O7rg1NQNb19K33VvZ/d&#10;Dut9uS0/XrdK3S3m8hlExDn+H8NFn9WhYKfGH8gEMTCvU/4lKnhIQVzydMXc/LEscnntX/wCAAD/&#10;/wMAUEsBAi0AFAAGAAgAAAAhALaDOJL+AAAA4QEAABMAAAAAAAAAAAAAAAAAAAAAAFtDb250ZW50&#10;X1R5cGVzXS54bWxQSwECLQAUAAYACAAAACEAOP0h/9YAAACUAQAACwAAAAAAAAAAAAAAAAAvAQAA&#10;X3JlbHMvLnJlbHNQSwECLQAUAAYACAAAACEAFdEOKsEBAABwAwAADgAAAAAAAAAAAAAAAAAuAgAA&#10;ZHJzL2Uyb0RvYy54bWxQSwECLQAUAAYACAAAACEARKdeb9oAAAAHAQAADwAAAAAAAAAAAAAAAAAb&#10;BAAAZHJzL2Rvd25yZXYueG1sUEsFBgAAAAAEAAQA8wAAACIFAAAAAA==&#10;" strokecolor="#4a7ebb"/>
            </w:pict>
          </mc:Fallback>
        </mc:AlternateContent>
      </w:r>
      <w:r>
        <w:rPr>
          <w:b/>
          <w:noProof/>
          <w:sz w:val="22"/>
        </w:rPr>
        <mc:AlternateContent>
          <mc:Choice Requires="wps">
            <w:drawing>
              <wp:anchor distT="0" distB="0" distL="114300" distR="114300" simplePos="0" relativeHeight="251947008" behindDoc="0" locked="0" layoutInCell="1" allowOverlap="1" wp14:anchorId="5F58403B" wp14:editId="4D72709F">
                <wp:simplePos x="0" y="0"/>
                <wp:positionH relativeFrom="column">
                  <wp:posOffset>2457450</wp:posOffset>
                </wp:positionH>
                <wp:positionV relativeFrom="paragraph">
                  <wp:posOffset>41275</wp:posOffset>
                </wp:positionV>
                <wp:extent cx="393700" cy="0"/>
                <wp:effectExtent l="0" t="0" r="0" b="0"/>
                <wp:wrapNone/>
                <wp:docPr id="192" name="Straight Connector 192"/>
                <wp:cNvGraphicFramePr/>
                <a:graphic xmlns:a="http://schemas.openxmlformats.org/drawingml/2006/main">
                  <a:graphicData uri="http://schemas.microsoft.com/office/word/2010/wordprocessingShape">
                    <wps:wsp>
                      <wps:cNvCnPr/>
                      <wps:spPr>
                        <a:xfrm flipH="1">
                          <a:off x="0" y="0"/>
                          <a:ext cx="393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7CD0DC" id="Straight Connector 192" o:spid="_x0000_s1026" style="position:absolute;flip:x;z-index:251947008;visibility:visible;mso-wrap-style:square;mso-wrap-distance-left:9pt;mso-wrap-distance-top:0;mso-wrap-distance-right:9pt;mso-wrap-distance-bottom:0;mso-position-horizontal:absolute;mso-position-horizontal-relative:text;mso-position-vertical:absolute;mso-position-vertical-relative:text" from="193.5pt,3.25pt" to="224.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HYgpAEAAJ0DAAAOAAAAZHJzL2Uyb0RvYy54bWysU8uO1DAQvCPxD5bvTDK7Eo9oMnvYFXBA&#10;sILlA7xOe2LJdlu2mWT+nnZnJosAIYG4WH50VXdVt3c3s3fiCClbDL3cblopIGgcbDj08uvD2xev&#10;pchFhUE5DNDLE2R5s3/+bDfFDq5wRDdAEkQScjfFXo6lxK5psh7Bq7zBCIEeDSavCh3ToRmSmojd&#10;u+aqbV82E6YhJtSQM93eLY9yz/zGgC6fjMlQhOsl1VZ4Tbw+1rXZ71R3SCqOVp/LUP9QhVc2UNKV&#10;6k4VJb4l+wuVtzphRlM2Gn2DxlgNrIHUbNuf1HwZVQTWQubkuNqU/x+t/ni8DfeJbJhi7nK8T1XF&#10;bJIXxtn4nnrKuqhSMbNtp9U2mIvQdHn95vpVS+bqy1OzMFSmmHJ5B+hF3fTS2VAFqU4dP+RCWSn0&#10;EkKHpxp4V04OarALn8EIO1CupRoeD7h1SRwVNVZpDaFsazOJj6MrzFjnVmDLaf8IPMdXKPDo/A14&#10;RXBmDGUFexsw/S57mS8lmyX+4sCiu1rwiMOJu8PW0AywwvO81iH78czwp1+1/w4AAP//AwBQSwME&#10;FAAGAAgAAAAhAHU7lmvaAAAABwEAAA8AAABkcnMvZG93bnJldi54bWxMj8FOwzAQRO9I/IO1SNyo&#10;0xLaEuJUiNIzaqESRzdekoC9jmy3Tf6ehQscn2Y187ZcDc6KE4bYeVIwnWQgkGpvOmoUvL1ubpYg&#10;YtJktPWECkaMsKouL0pdGH+mLZ52qRFcQrHQCtqU+kLKWLfodJz4HomzDx+cToyhkSboM5c7K2dZ&#10;NpdOd8QLre7xqcX6a3d0CqJtnj/H/ejXMxPG9Sa+48s0V+r6anh8AJFwSH/H8KPP6lCx08EfyURh&#10;FdwuF/xLUjC/A8F5nt8zH35ZVqX87199AwAA//8DAFBLAQItABQABgAIAAAAIQC2gziS/gAAAOEB&#10;AAATAAAAAAAAAAAAAAAAAAAAAABbQ29udGVudF9UeXBlc10ueG1sUEsBAi0AFAAGAAgAAAAhADj9&#10;If/WAAAAlAEAAAsAAAAAAAAAAAAAAAAALwEAAF9yZWxzLy5yZWxzUEsBAi0AFAAGAAgAAAAhAH1g&#10;diCkAQAAnQMAAA4AAAAAAAAAAAAAAAAALgIAAGRycy9lMm9Eb2MueG1sUEsBAi0AFAAGAAgAAAAh&#10;AHU7lmvaAAAABwEAAA8AAAAAAAAAAAAAAAAA/gMAAGRycy9kb3ducmV2LnhtbFBLBQYAAAAABAAE&#10;APMAAAAFBQAAAAA=&#10;" strokecolor="#4579b8 [3044]"/>
            </w:pict>
          </mc:Fallback>
        </mc:AlternateContent>
      </w:r>
    </w:p>
    <w:p w14:paraId="0043989A" w14:textId="77777777" w:rsidR="00685473" w:rsidRDefault="00685473" w:rsidP="007D4F16">
      <w:pPr>
        <w:rPr>
          <w:b/>
          <w:sz w:val="22"/>
        </w:rPr>
      </w:pPr>
    </w:p>
    <w:p w14:paraId="497814D9" w14:textId="31048CE7" w:rsidR="00685473" w:rsidRDefault="00685473" w:rsidP="007D4F16">
      <w:pPr>
        <w:rPr>
          <w:b/>
          <w:sz w:val="22"/>
        </w:rPr>
      </w:pPr>
      <w:r>
        <w:rPr>
          <w:noProof/>
        </w:rPr>
        <mc:AlternateContent>
          <mc:Choice Requires="wps">
            <w:drawing>
              <wp:anchor distT="0" distB="0" distL="114300" distR="114300" simplePos="0" relativeHeight="251938816" behindDoc="0" locked="0" layoutInCell="1" allowOverlap="1" wp14:anchorId="334EBFBF" wp14:editId="7120308C">
                <wp:simplePos x="0" y="0"/>
                <wp:positionH relativeFrom="column">
                  <wp:posOffset>1847850</wp:posOffset>
                </wp:positionH>
                <wp:positionV relativeFrom="paragraph">
                  <wp:posOffset>202565</wp:posOffset>
                </wp:positionV>
                <wp:extent cx="2127250" cy="487454"/>
                <wp:effectExtent l="0" t="0" r="25400" b="27305"/>
                <wp:wrapNone/>
                <wp:docPr id="52" name="Rectangle 31"/>
                <wp:cNvGraphicFramePr/>
                <a:graphic xmlns:a="http://schemas.openxmlformats.org/drawingml/2006/main">
                  <a:graphicData uri="http://schemas.microsoft.com/office/word/2010/wordprocessingShape">
                    <wps:wsp>
                      <wps:cNvSpPr/>
                      <wps:spPr>
                        <a:xfrm>
                          <a:off x="0" y="0"/>
                          <a:ext cx="2127250" cy="48745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6CFA54" w14:textId="02DFE866" w:rsidR="00685473" w:rsidRDefault="00685473" w:rsidP="00685473">
                            <w:pPr>
                              <w:jc w:val="center"/>
                              <w:rPr>
                                <w:rFonts w:asciiTheme="minorHAnsi" w:hAnsi="Calibri" w:cstheme="minorBidi"/>
                                <w:color w:val="FFFFFF" w:themeColor="light1"/>
                                <w:kern w:val="24"/>
                                <w:sz w:val="21"/>
                                <w:szCs w:val="21"/>
                              </w:rPr>
                            </w:pPr>
                            <w:r>
                              <w:rPr>
                                <w:rFonts w:asciiTheme="minorHAnsi" w:hAnsi="Calibri" w:cstheme="minorBidi"/>
                                <w:color w:val="FFFFFF" w:themeColor="light1"/>
                                <w:kern w:val="24"/>
                                <w:sz w:val="21"/>
                                <w:szCs w:val="21"/>
                              </w:rPr>
                              <w:t>IPC Support Worker</w:t>
                            </w:r>
                          </w:p>
                          <w:p w14:paraId="61CC1EFD" w14:textId="438F5E11" w:rsidR="00685473" w:rsidRDefault="00685473" w:rsidP="00685473">
                            <w:pPr>
                              <w:rPr>
                                <w:rFonts w:asciiTheme="minorHAnsi" w:hAnsi="Calibri" w:cstheme="minorBidi"/>
                                <w:color w:val="FFFFFF" w:themeColor="light1"/>
                                <w:kern w:val="24"/>
                                <w:sz w:val="21"/>
                                <w:szCs w:val="21"/>
                              </w:rPr>
                            </w:pPr>
                          </w:p>
                        </w:txbxContent>
                      </wps:txbx>
                      <wps:bodyPr wrap="square" rtlCol="0" anchor="ctr"/>
                    </wps:wsp>
                  </a:graphicData>
                </a:graphic>
                <wp14:sizeRelH relativeFrom="margin">
                  <wp14:pctWidth>0</wp14:pctWidth>
                </wp14:sizeRelH>
              </wp:anchor>
            </w:drawing>
          </mc:Choice>
          <mc:Fallback>
            <w:pict>
              <v:rect w14:anchorId="334EBFBF" id="_x0000_s1033" style="position:absolute;margin-left:145.5pt;margin-top:15.95pt;width:167.5pt;height:38.4pt;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5oa1wEAAPQDAAAOAAAAZHJzL2Uyb0RvYy54bWysU8tu2zAQvBfoPxC815IFuw4EyzkkaC9F&#10;GzTtB9DU0iJAkeySseS/75JS5KIpegiiA8XHzuzscLm/HXvDzoBBO9vw9arkDKx0rbanhv/88enD&#10;DWchCtsK4yw0/AKB3x7ev9sPvobKdc60gIxIbKgH3/AuRl8XRZAd9CKsnAdLh8phLyIt8VS0KAZi&#10;701RleXHYnDYenQSQqDd++mQHzK/UiDjN6UCRGYaTtpiHjGPxzQWh72oTyh8p+UsQ7xCRS+0paQL&#10;1b2Igj2hfkHVa4kuOBVX0vWFU0pLyDVQNevyr2oeO+Eh10LmBL/YFN6OVn49P/oHJBsGH+pA01TF&#10;qLBPf9LHxmzWZTELxsgkbVbraldtyVNJZ5ub3Wa7SW4WV7THED+D61maNBzpMrJH4vwlxCn0OYRw&#10;1/x5Fi8GkgRjv4Niuk0ZMzq3BtwZZGdBlyqkBBvX01EnWpi2tyV9s54FkdVlwsSstDEL90yQ2u4l&#10;96R1jk9QyJ21gMv/CZvACyJndjYu4F5bh/8iMFTVnHmKfzZpsia5FMfjSN40fJci087RtZcHZAN1&#10;dMPDryeBwBlGc+emByCs7Bz1v4yYyROGWis7Mz+D1Lt/rnPa62M9/AYAAP//AwBQSwMEFAAGAAgA&#10;AAAhAOl8NkveAAAACgEAAA8AAABkcnMvZG93bnJldi54bWxMj8FOwzAMhu9IvENkJG4sbUFd1zWd&#10;EBJC4oLYeICsMW1H4lRNuhaeHnNiR9uffn9/tVucFWccQ+9JQbpKQCA13vTUKvg4PN8VIELUZLT1&#10;hAq+McCuvr6qdGn8TO943sdWcAiFUivoYhxKKUPTodNh5Qckvn360enI49hKM+qZw52VWZLk0ume&#10;+EOnB3zqsPnaT06BT9/i62F+mAjn8aXoT439WRdK3d4sj1sQEZf4D8OfPqtDzU5HP5EJwirINil3&#10;iQru0w0IBvIs58WRyaRYg6wreVmh/gUAAP//AwBQSwECLQAUAAYACAAAACEAtoM4kv4AAADhAQAA&#10;EwAAAAAAAAAAAAAAAAAAAAAAW0NvbnRlbnRfVHlwZXNdLnhtbFBLAQItABQABgAIAAAAIQA4/SH/&#10;1gAAAJQBAAALAAAAAAAAAAAAAAAAAC8BAABfcmVscy8ucmVsc1BLAQItABQABgAIAAAAIQBqi5oa&#10;1wEAAPQDAAAOAAAAAAAAAAAAAAAAAC4CAABkcnMvZTJvRG9jLnhtbFBLAQItABQABgAIAAAAIQDp&#10;fDZL3gAAAAoBAAAPAAAAAAAAAAAAAAAAADEEAABkcnMvZG93bnJldi54bWxQSwUGAAAAAAQABADz&#10;AAAAPAUAAAAA&#10;" fillcolor="#4f81bd [3204]" strokecolor="#243f60 [1604]" strokeweight="2pt">
                <v:textbox>
                  <w:txbxContent>
                    <w:p w14:paraId="1A6CFA54" w14:textId="02DFE866" w:rsidR="00685473" w:rsidRDefault="00685473" w:rsidP="00685473">
                      <w:pPr>
                        <w:jc w:val="center"/>
                        <w:rPr>
                          <w:rFonts w:asciiTheme="minorHAnsi" w:hAnsi="Calibri" w:cstheme="minorBidi"/>
                          <w:color w:val="FFFFFF" w:themeColor="light1"/>
                          <w:kern w:val="24"/>
                          <w:sz w:val="21"/>
                          <w:szCs w:val="21"/>
                        </w:rPr>
                      </w:pPr>
                      <w:r>
                        <w:rPr>
                          <w:rFonts w:asciiTheme="minorHAnsi" w:hAnsi="Calibri" w:cstheme="minorBidi"/>
                          <w:color w:val="FFFFFF" w:themeColor="light1"/>
                          <w:kern w:val="24"/>
                          <w:sz w:val="21"/>
                          <w:szCs w:val="21"/>
                        </w:rPr>
                        <w:t>IPC Support Worker</w:t>
                      </w:r>
                    </w:p>
                    <w:p w14:paraId="61CC1EFD" w14:textId="438F5E11" w:rsidR="00685473" w:rsidRDefault="00685473" w:rsidP="00685473">
                      <w:pPr>
                        <w:rPr>
                          <w:rFonts w:asciiTheme="minorHAnsi" w:hAnsi="Calibri" w:cstheme="minorBidi"/>
                          <w:color w:val="FFFFFF" w:themeColor="light1"/>
                          <w:kern w:val="24"/>
                          <w:sz w:val="21"/>
                          <w:szCs w:val="21"/>
                        </w:rPr>
                      </w:pPr>
                    </w:p>
                  </w:txbxContent>
                </v:textbox>
              </v:rect>
            </w:pict>
          </mc:Fallback>
        </mc:AlternateContent>
      </w:r>
    </w:p>
    <w:p w14:paraId="7B227550" w14:textId="57797819" w:rsidR="00685473" w:rsidRDefault="00685473" w:rsidP="007D4F16">
      <w:pPr>
        <w:rPr>
          <w:b/>
          <w:sz w:val="22"/>
        </w:rPr>
      </w:pPr>
    </w:p>
    <w:p w14:paraId="1258A62E" w14:textId="1FDED0D5" w:rsidR="00685473" w:rsidRDefault="001754D8" w:rsidP="007D4F16">
      <w:pPr>
        <w:rPr>
          <w:b/>
          <w:sz w:val="22"/>
        </w:rPr>
      </w:pPr>
      <w:r>
        <w:rPr>
          <w:b/>
          <w:noProof/>
          <w:sz w:val="22"/>
        </w:rPr>
        <w:lastRenderedPageBreak/>
        <mc:AlternateContent>
          <mc:Choice Requires="wps">
            <w:drawing>
              <wp:anchor distT="0" distB="0" distL="114300" distR="114300" simplePos="0" relativeHeight="251951104" behindDoc="0" locked="0" layoutInCell="1" allowOverlap="1" wp14:anchorId="27847928" wp14:editId="65C08209">
                <wp:simplePos x="0" y="0"/>
                <wp:positionH relativeFrom="margin">
                  <wp:align>center</wp:align>
                </wp:positionH>
                <wp:positionV relativeFrom="paragraph">
                  <wp:posOffset>205105</wp:posOffset>
                </wp:positionV>
                <wp:extent cx="6350" cy="425450"/>
                <wp:effectExtent l="0" t="0" r="31750" b="12700"/>
                <wp:wrapNone/>
                <wp:docPr id="194" name="Straight Connector 194"/>
                <wp:cNvGraphicFramePr/>
                <a:graphic xmlns:a="http://schemas.openxmlformats.org/drawingml/2006/main">
                  <a:graphicData uri="http://schemas.microsoft.com/office/word/2010/wordprocessingShape">
                    <wps:wsp>
                      <wps:cNvCnPr/>
                      <wps:spPr>
                        <a:xfrm flipH="1" flipV="1">
                          <a:off x="0" y="0"/>
                          <a:ext cx="6350" cy="4254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3346BE" id="Straight Connector 194" o:spid="_x0000_s1026" style="position:absolute;flip:x y;z-index:251951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15pt" to=".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PLxQEAAH0DAAAOAAAAZHJzL2Uyb0RvYy54bWysU8tu2zAQvBfoPxC815JdO0gEywEaw+2h&#10;jwB93Nd8SAQokuCylv33XVKKk7a3ohdiuEuOdoaj7f15sOykIhrvWr5c1JwpJ7w0rmv592+HN7ec&#10;YQInwXqnWn5RyO93r19tx9Cole+9lSoyInHYjKHlfUqhqSoUvRoAFz4oR03t4wCJtrGrZISR2Adb&#10;rer6php9lCF6oRCpup+afFf4tVYifdEaVWK25TRbKmss6zGv1W4LTRch9EbMY8A/TDGAcfTRK9Ue&#10;ErCf0fxFNRgRPXqdFsIPldfaCFU0kJpl/Yearz0EVbSQORiuNuH/oxWfTw/uMZINY8AGw2PMKs46&#10;DkxbEz7Qm/KCfmSUezQzOxcDL1cD1TkxQcWbtxsyWVBjvdqsCRNvNdHlqyFieq/8wDJouTUuq4MG&#10;Th8xTUefjuSy8wdjbXkh69jY8rvNakP0QDnRFhLBIciWo+s4A9tRAEWKhRG9NTLfzjwYu+ODjewE&#10;FIL14Xb5bj8d6kGqqXq3qes5DAjpk5dTeVk/1UnFTFMU/cafZ94D9tOd0pqFW5e/r0oOZ4nPNmd0&#10;9PJS3K/yjt64sM95zCF6uSf88q/Z/QIAAP//AwBQSwMEFAAGAAgAAAAhAEnj4GnZAAAABAEAAA8A&#10;AABkcnMvZG93bnJldi54bWxMj0FLw0AUhO+C/2F5gje7sYHWxrwUKeQqmEqpt9fsaxLMvg3ZTRv/&#10;vduTHocZZr7Jt7Pt1YVH3zlBeF4koFhqZzppED735dMLKB9IDPVOGOGHPWyL+7ucMuOu8sGXKjQq&#10;lojPCKENYci09nXLlvzCDSzRO7vRUohybLQZ6RrLba+XSbLSljqJCy0NvGu5/q4mizCdq51Zr9+n&#10;r+owH8zqWCa0LxEfH+a3V1CB5/AXhht+RIciMp3cJMarHiEeCQjpMgV1c6M8IWw2Kegi1//hi18A&#10;AAD//wMAUEsBAi0AFAAGAAgAAAAhALaDOJL+AAAA4QEAABMAAAAAAAAAAAAAAAAAAAAAAFtDb250&#10;ZW50X1R5cGVzXS54bWxQSwECLQAUAAYACAAAACEAOP0h/9YAAACUAQAACwAAAAAAAAAAAAAAAAAv&#10;AQAAX3JlbHMvLnJlbHNQSwECLQAUAAYACAAAACEAwWSzy8UBAAB9AwAADgAAAAAAAAAAAAAAAAAu&#10;AgAAZHJzL2Uyb0RvYy54bWxQSwECLQAUAAYACAAAACEASePgadkAAAAEAQAADwAAAAAAAAAAAAAA&#10;AAAfBAAAZHJzL2Rvd25yZXYueG1sUEsFBgAAAAAEAAQA8wAAACUFAAAAAA==&#10;" strokecolor="#4a7ebb">
                <w10:wrap anchorx="margin"/>
              </v:line>
            </w:pict>
          </mc:Fallback>
        </mc:AlternateContent>
      </w:r>
    </w:p>
    <w:p w14:paraId="7B8CF283" w14:textId="543211B9" w:rsidR="00C559D4" w:rsidRPr="009A7064" w:rsidRDefault="00C559D4" w:rsidP="007D4F16">
      <w:pPr>
        <w:rPr>
          <w:b/>
          <w:sz w:val="22"/>
        </w:rPr>
      </w:pPr>
    </w:p>
    <w:p w14:paraId="15A99567" w14:textId="6A012F1F" w:rsidR="00685473" w:rsidRDefault="00685473" w:rsidP="009477C1">
      <w:pPr>
        <w:rPr>
          <w:sz w:val="20"/>
          <w:szCs w:val="20"/>
        </w:rPr>
      </w:pPr>
      <w:r>
        <w:rPr>
          <w:noProof/>
        </w:rPr>
        <mc:AlternateContent>
          <mc:Choice Requires="wps">
            <w:drawing>
              <wp:anchor distT="0" distB="0" distL="114300" distR="114300" simplePos="0" relativeHeight="251940864" behindDoc="0" locked="0" layoutInCell="1" allowOverlap="1" wp14:anchorId="01F1CC97" wp14:editId="1E7FF996">
                <wp:simplePos x="0" y="0"/>
                <wp:positionH relativeFrom="column">
                  <wp:posOffset>1860550</wp:posOffset>
                </wp:positionH>
                <wp:positionV relativeFrom="paragraph">
                  <wp:posOffset>156210</wp:posOffset>
                </wp:positionV>
                <wp:extent cx="2127250" cy="487454"/>
                <wp:effectExtent l="0" t="0" r="25400" b="27305"/>
                <wp:wrapNone/>
                <wp:docPr id="53" name="Rectangle 31"/>
                <wp:cNvGraphicFramePr/>
                <a:graphic xmlns:a="http://schemas.openxmlformats.org/drawingml/2006/main">
                  <a:graphicData uri="http://schemas.microsoft.com/office/word/2010/wordprocessingShape">
                    <wps:wsp>
                      <wps:cNvSpPr/>
                      <wps:spPr>
                        <a:xfrm>
                          <a:off x="0" y="0"/>
                          <a:ext cx="2127250" cy="487454"/>
                        </a:xfrm>
                        <a:prstGeom prst="rect">
                          <a:avLst/>
                        </a:prstGeom>
                        <a:solidFill>
                          <a:srgbClr val="4F81BD"/>
                        </a:solidFill>
                        <a:ln w="25400" cap="flat" cmpd="sng" algn="ctr">
                          <a:solidFill>
                            <a:srgbClr val="4F81BD">
                              <a:shade val="50000"/>
                            </a:srgbClr>
                          </a:solidFill>
                          <a:prstDash val="solid"/>
                        </a:ln>
                        <a:effectLst/>
                      </wps:spPr>
                      <wps:txbx>
                        <w:txbxContent>
                          <w:p w14:paraId="430916DC" w14:textId="5FB9C050" w:rsidR="00685473" w:rsidRDefault="00685473" w:rsidP="00685473">
                            <w:pPr>
                              <w:jc w:val="center"/>
                              <w:rPr>
                                <w:rFonts w:asciiTheme="minorHAnsi" w:hAnsi="Calibri" w:cstheme="minorBidi"/>
                                <w:color w:val="FFFFFF" w:themeColor="light1"/>
                                <w:kern w:val="24"/>
                                <w:sz w:val="21"/>
                                <w:szCs w:val="21"/>
                              </w:rPr>
                            </w:pPr>
                            <w:r>
                              <w:rPr>
                                <w:rFonts w:asciiTheme="minorHAnsi" w:hAnsi="Calibri" w:cstheme="minorBidi"/>
                                <w:color w:val="FFFFFF" w:themeColor="light1"/>
                                <w:kern w:val="24"/>
                                <w:sz w:val="21"/>
                                <w:szCs w:val="21"/>
                              </w:rPr>
                              <w:t>IPC Support Secretary</w:t>
                            </w:r>
                          </w:p>
                          <w:p w14:paraId="4EBEDF58" w14:textId="77777777" w:rsidR="00685473" w:rsidRDefault="00685473" w:rsidP="00685473">
                            <w:pPr>
                              <w:rPr>
                                <w:rFonts w:asciiTheme="minorHAnsi" w:hAnsi="Calibri" w:cstheme="minorBidi"/>
                                <w:color w:val="FFFFFF" w:themeColor="light1"/>
                                <w:kern w:val="24"/>
                                <w:sz w:val="21"/>
                                <w:szCs w:val="21"/>
                              </w:rPr>
                            </w:pPr>
                          </w:p>
                        </w:txbxContent>
                      </wps:txbx>
                      <wps:bodyPr wrap="square" rtlCol="0" anchor="ctr"/>
                    </wps:wsp>
                  </a:graphicData>
                </a:graphic>
                <wp14:sizeRelH relativeFrom="margin">
                  <wp14:pctWidth>0</wp14:pctWidth>
                </wp14:sizeRelH>
              </wp:anchor>
            </w:drawing>
          </mc:Choice>
          <mc:Fallback>
            <w:pict>
              <v:rect w14:anchorId="01F1CC97" id="_x0000_s1034" style="position:absolute;margin-left:146.5pt;margin-top:12.3pt;width:167.5pt;height:38.4p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tH1gEAALYDAAAOAAAAZHJzL2Uyb0RvYy54bWysU8Fu2zAMvQ/YPwi6L3YMZw2MOAXWILsM&#10;W4GuH8DIkm1AljRKjZ2/HyWnSbPtNNQHmZLIR77n5839NGh2lOh7a2q+XOScSSNs05u25s8/95/W&#10;nPkApgFtjaz5SXp+v/34YTO6Sha2s7qRyAjE+Gp0Ne9CcFWWedHJAfzCOmnoUlkcINAW26xBGAl9&#10;0FmR55+z0WLj0ArpPZ3u5ku+TfhKSRF+KOVlYLrmNFtIK6b1ENdsu4GqRXBdL85jwH9MMUBvqOkF&#10;agcB2Av2f0ENvUDrrQoLYYfMKtULmTgQm2X+B5unDpxMXEgc7y4y+feDFd+PT+4RSYbR+cpTGFlM&#10;Cof4pvnYlMQ6XcSSU2CCDotlcVesSFNBd+X6rlyVUc3sWu3Qh6/SDiwGNUf6GEkjOH7zYU59TYnN&#10;vNV9s++1ThtsDw8a2RHow5X79fLL7ox+k6YNG2mUVZnHQYAMpDQECgfX1NybljPQLTlTBEy9b6r9&#10;P5qk5h00cm69yul57TynJ443OJHFDnw3l6Src4k2EU8mI55JX3WOUZgOE+tp1nWsiCcH25wekY3k&#10;SWLw6wVQcoZBP9jZwmBEZ8nBkVEUMdaQOdJUZyNH973dp6zr77b9DQAA//8DAFBLAwQUAAYACAAA&#10;ACEA7dSytuAAAAAKAQAADwAAAGRycy9kb3ducmV2LnhtbEyPwU7DMBBE70j8g7VI3KjdUIUmjVMh&#10;RMUBoYrSCzcnduOo8Tqy3Tb8PcuJ3nZ3RrNvqvXkBnY2IfYeJcxnApjB1useOwn7r83DElhMCrUa&#10;PBoJPybCur69qVSp/QU/zXmXOkYhGEslwaY0lpzH1hqn4syPBkk7+OBUojV0XAd1oXA38EyInDvV&#10;I32wajQv1rTH3clJOH6/bj+2xT7bOP3WiD49FTa8S3l/Nz2vgCUzpX8z/OETOtTE1PgT6sgGCVnx&#10;SF0SDYscGBnybEmHhpxivgBeV/y6Qv0LAAD//wMAUEsBAi0AFAAGAAgAAAAhALaDOJL+AAAA4QEA&#10;ABMAAAAAAAAAAAAAAAAAAAAAAFtDb250ZW50X1R5cGVzXS54bWxQSwECLQAUAAYACAAAACEAOP0h&#10;/9YAAACUAQAACwAAAAAAAAAAAAAAAAAvAQAAX3JlbHMvLnJlbHNQSwECLQAUAAYACAAAACEA5gg7&#10;R9YBAAC2AwAADgAAAAAAAAAAAAAAAAAuAgAAZHJzL2Uyb0RvYy54bWxQSwECLQAUAAYACAAAACEA&#10;7dSytuAAAAAKAQAADwAAAAAAAAAAAAAAAAAwBAAAZHJzL2Rvd25yZXYueG1sUEsFBgAAAAAEAAQA&#10;8wAAAD0FAAAAAA==&#10;" fillcolor="#4f81bd" strokecolor="#385d8a" strokeweight="2pt">
                <v:textbox>
                  <w:txbxContent>
                    <w:p w14:paraId="430916DC" w14:textId="5FB9C050" w:rsidR="00685473" w:rsidRDefault="00685473" w:rsidP="00685473">
                      <w:pPr>
                        <w:jc w:val="center"/>
                        <w:rPr>
                          <w:rFonts w:asciiTheme="minorHAnsi" w:hAnsi="Calibri" w:cstheme="minorBidi"/>
                          <w:color w:val="FFFFFF" w:themeColor="light1"/>
                          <w:kern w:val="24"/>
                          <w:sz w:val="21"/>
                          <w:szCs w:val="21"/>
                        </w:rPr>
                      </w:pPr>
                      <w:r>
                        <w:rPr>
                          <w:rFonts w:asciiTheme="minorHAnsi" w:hAnsi="Calibri" w:cstheme="minorBidi"/>
                          <w:color w:val="FFFFFF" w:themeColor="light1"/>
                          <w:kern w:val="24"/>
                          <w:sz w:val="21"/>
                          <w:szCs w:val="21"/>
                        </w:rPr>
                        <w:t>IPC Support Secretary</w:t>
                      </w:r>
                    </w:p>
                    <w:p w14:paraId="4EBEDF58" w14:textId="77777777" w:rsidR="00685473" w:rsidRDefault="00685473" w:rsidP="00685473">
                      <w:pPr>
                        <w:rPr>
                          <w:rFonts w:asciiTheme="minorHAnsi" w:hAnsi="Calibri" w:cstheme="minorBidi"/>
                          <w:color w:val="FFFFFF" w:themeColor="light1"/>
                          <w:kern w:val="24"/>
                          <w:sz w:val="21"/>
                          <w:szCs w:val="21"/>
                        </w:rPr>
                      </w:pPr>
                    </w:p>
                  </w:txbxContent>
                </v:textbox>
              </v:rect>
            </w:pict>
          </mc:Fallback>
        </mc:AlternateContent>
      </w:r>
    </w:p>
    <w:p w14:paraId="03ED7F19" w14:textId="77777777" w:rsidR="00685473" w:rsidRDefault="00685473" w:rsidP="009477C1">
      <w:pPr>
        <w:rPr>
          <w:sz w:val="20"/>
          <w:szCs w:val="20"/>
        </w:rPr>
      </w:pPr>
    </w:p>
    <w:p w14:paraId="6B6EF597" w14:textId="77777777" w:rsidR="00875C82" w:rsidRDefault="00875C82" w:rsidP="009477C1">
      <w:pPr>
        <w:rPr>
          <w:sz w:val="20"/>
          <w:szCs w:val="20"/>
        </w:rPr>
      </w:pPr>
    </w:p>
    <w:p w14:paraId="4C53FFC2" w14:textId="77777777" w:rsidR="00875C82" w:rsidRDefault="00875C82" w:rsidP="009477C1">
      <w:pPr>
        <w:rPr>
          <w:sz w:val="20"/>
          <w:szCs w:val="20"/>
        </w:rPr>
      </w:pPr>
    </w:p>
    <w:p w14:paraId="4BDAD23B" w14:textId="1AD08391" w:rsidR="009477C1" w:rsidRPr="00ED3CEB" w:rsidRDefault="009477C1" w:rsidP="00875C82">
      <w:pPr>
        <w:ind w:left="-709"/>
        <w:rPr>
          <w:sz w:val="20"/>
          <w:szCs w:val="20"/>
        </w:rPr>
      </w:pPr>
      <w:r w:rsidRPr="00ED3CEB">
        <w:rPr>
          <w:sz w:val="20"/>
          <w:szCs w:val="20"/>
        </w:rPr>
        <w:t xml:space="preserve">The </w:t>
      </w:r>
      <w:r w:rsidRPr="00ED3CEB">
        <w:rPr>
          <w:b/>
          <w:sz w:val="20"/>
          <w:szCs w:val="20"/>
        </w:rPr>
        <w:t>Chief Executive Officer</w:t>
      </w:r>
      <w:r w:rsidRPr="00ED3CEB">
        <w:rPr>
          <w:sz w:val="20"/>
          <w:szCs w:val="20"/>
        </w:rPr>
        <w:t xml:space="preserve"> has overall </w:t>
      </w:r>
      <w:r w:rsidR="00546543">
        <w:rPr>
          <w:sz w:val="20"/>
          <w:szCs w:val="20"/>
        </w:rPr>
        <w:t>responsibility to ensure that systems and resources are available to implement and monitor compliance with</w:t>
      </w:r>
      <w:r w:rsidRPr="00ED3CEB">
        <w:rPr>
          <w:sz w:val="20"/>
          <w:szCs w:val="20"/>
        </w:rPr>
        <w:t xml:space="preserve">   infection</w:t>
      </w:r>
      <w:r w:rsidR="00546543">
        <w:rPr>
          <w:sz w:val="20"/>
          <w:szCs w:val="20"/>
        </w:rPr>
        <w:t xml:space="preserve"> prevention and control</w:t>
      </w:r>
      <w:r w:rsidRPr="00ED3CEB">
        <w:rPr>
          <w:sz w:val="20"/>
          <w:szCs w:val="20"/>
        </w:rPr>
        <w:t xml:space="preserve"> at RJAH.</w:t>
      </w:r>
    </w:p>
    <w:p w14:paraId="24BFF0B6" w14:textId="0187ACD8" w:rsidR="009477C1" w:rsidRPr="009A7064" w:rsidRDefault="009477C1" w:rsidP="00875C82">
      <w:pPr>
        <w:ind w:left="-709"/>
        <w:rPr>
          <w:sz w:val="20"/>
          <w:szCs w:val="20"/>
        </w:rPr>
      </w:pPr>
      <w:r w:rsidRPr="00ED3CEB">
        <w:rPr>
          <w:sz w:val="20"/>
          <w:szCs w:val="20"/>
        </w:rPr>
        <w:t xml:space="preserve">The </w:t>
      </w:r>
      <w:r w:rsidRPr="00ED3CEB">
        <w:rPr>
          <w:b/>
          <w:sz w:val="20"/>
          <w:szCs w:val="20"/>
        </w:rPr>
        <w:t>Director of Infection Prevention &amp; Control</w:t>
      </w:r>
      <w:r w:rsidR="00DD1B98" w:rsidRPr="00ED3CEB">
        <w:rPr>
          <w:sz w:val="20"/>
          <w:szCs w:val="20"/>
        </w:rPr>
        <w:t xml:space="preserve"> </w:t>
      </w:r>
      <w:r w:rsidR="004A14A9" w:rsidRPr="00ED3CEB">
        <w:rPr>
          <w:b/>
          <w:sz w:val="20"/>
          <w:szCs w:val="20"/>
        </w:rPr>
        <w:t>(DIPC)</w:t>
      </w:r>
      <w:r w:rsidR="004A14A9" w:rsidRPr="00ED3CEB">
        <w:rPr>
          <w:sz w:val="20"/>
          <w:szCs w:val="20"/>
        </w:rPr>
        <w:t xml:space="preserve"> </w:t>
      </w:r>
      <w:r w:rsidR="00DD1B98" w:rsidRPr="00ED3CEB">
        <w:rPr>
          <w:sz w:val="20"/>
          <w:szCs w:val="20"/>
        </w:rPr>
        <w:t xml:space="preserve">is the Executive Lead for </w:t>
      </w:r>
      <w:proofErr w:type="gramStart"/>
      <w:r w:rsidR="00DD1B98" w:rsidRPr="00ED3CEB">
        <w:rPr>
          <w:sz w:val="20"/>
          <w:szCs w:val="20"/>
        </w:rPr>
        <w:t>IPC, and</w:t>
      </w:r>
      <w:proofErr w:type="gramEnd"/>
      <w:r w:rsidR="00DD1B98" w:rsidRPr="00ED3CEB">
        <w:rPr>
          <w:sz w:val="20"/>
          <w:szCs w:val="20"/>
        </w:rPr>
        <w:t xml:space="preserve"> oversees the implementation of the IPC programme of work through </w:t>
      </w:r>
      <w:r w:rsidR="00ED3CEB" w:rsidRPr="00ED3CEB">
        <w:rPr>
          <w:sz w:val="20"/>
          <w:szCs w:val="20"/>
        </w:rPr>
        <w:t>their</w:t>
      </w:r>
      <w:r w:rsidR="00DD1B98" w:rsidRPr="00ED3CEB">
        <w:rPr>
          <w:sz w:val="20"/>
          <w:szCs w:val="20"/>
        </w:rPr>
        <w:t xml:space="preserve"> role as Chair of the Trust Infection Prevention and Control and Cleanliness Committee (IPC</w:t>
      </w:r>
      <w:r w:rsidR="00546543">
        <w:rPr>
          <w:sz w:val="20"/>
          <w:szCs w:val="20"/>
        </w:rPr>
        <w:t>&amp;</w:t>
      </w:r>
      <w:r w:rsidR="00DD1B98" w:rsidRPr="00ED3CEB">
        <w:rPr>
          <w:sz w:val="20"/>
          <w:szCs w:val="20"/>
        </w:rPr>
        <w:t>C</w:t>
      </w:r>
      <w:r w:rsidR="00546543">
        <w:rPr>
          <w:sz w:val="20"/>
          <w:szCs w:val="20"/>
        </w:rPr>
        <w:t>C</w:t>
      </w:r>
      <w:r w:rsidR="00DD1B98" w:rsidRPr="00ED3CEB">
        <w:rPr>
          <w:sz w:val="20"/>
          <w:szCs w:val="20"/>
        </w:rPr>
        <w:t xml:space="preserve">). The DIPC </w:t>
      </w:r>
      <w:r w:rsidR="00546543">
        <w:rPr>
          <w:sz w:val="20"/>
          <w:szCs w:val="20"/>
        </w:rPr>
        <w:t xml:space="preserve">delegates the responsibility and management of IPC for the Trust to the Deputy Director for </w:t>
      </w:r>
      <w:r w:rsidR="00173602">
        <w:rPr>
          <w:sz w:val="20"/>
          <w:szCs w:val="20"/>
        </w:rPr>
        <w:t>I</w:t>
      </w:r>
      <w:r w:rsidR="00546543" w:rsidRPr="00ED3CEB">
        <w:rPr>
          <w:sz w:val="20"/>
          <w:szCs w:val="20"/>
        </w:rPr>
        <w:t>nfection</w:t>
      </w:r>
      <w:r w:rsidR="00546543">
        <w:rPr>
          <w:sz w:val="20"/>
          <w:szCs w:val="20"/>
        </w:rPr>
        <w:t xml:space="preserve"> </w:t>
      </w:r>
      <w:r w:rsidR="00173602">
        <w:rPr>
          <w:sz w:val="20"/>
          <w:szCs w:val="20"/>
        </w:rPr>
        <w:t>P</w:t>
      </w:r>
      <w:r w:rsidR="00546543">
        <w:rPr>
          <w:sz w:val="20"/>
          <w:szCs w:val="20"/>
        </w:rPr>
        <w:t xml:space="preserve">revention and </w:t>
      </w:r>
      <w:r w:rsidR="00173602">
        <w:rPr>
          <w:sz w:val="20"/>
          <w:szCs w:val="20"/>
        </w:rPr>
        <w:t>C</w:t>
      </w:r>
      <w:r w:rsidR="00546543">
        <w:rPr>
          <w:sz w:val="20"/>
          <w:szCs w:val="20"/>
        </w:rPr>
        <w:t xml:space="preserve">ontrol (DDIPC).  </w:t>
      </w:r>
      <w:r w:rsidR="00464156" w:rsidRPr="00ED3CEB">
        <w:rPr>
          <w:sz w:val="20"/>
          <w:szCs w:val="20"/>
        </w:rPr>
        <w:t xml:space="preserve">The </w:t>
      </w:r>
      <w:r w:rsidR="00997F10">
        <w:rPr>
          <w:sz w:val="20"/>
          <w:szCs w:val="20"/>
        </w:rPr>
        <w:t>D</w:t>
      </w:r>
      <w:r w:rsidR="00464156" w:rsidRPr="00ED3CEB">
        <w:rPr>
          <w:sz w:val="20"/>
          <w:szCs w:val="20"/>
        </w:rPr>
        <w:t>DIPC</w:t>
      </w:r>
      <w:r w:rsidR="00DD1B98" w:rsidRPr="00ED3CEB">
        <w:rPr>
          <w:sz w:val="20"/>
          <w:szCs w:val="20"/>
        </w:rPr>
        <w:t xml:space="preserve"> reports directly to the </w:t>
      </w:r>
      <w:r w:rsidR="00997F10">
        <w:rPr>
          <w:sz w:val="20"/>
          <w:szCs w:val="20"/>
        </w:rPr>
        <w:t xml:space="preserve">DIPC and on to the </w:t>
      </w:r>
      <w:r w:rsidR="00DD1B98" w:rsidRPr="00ED3CEB">
        <w:rPr>
          <w:sz w:val="20"/>
          <w:szCs w:val="20"/>
        </w:rPr>
        <w:t xml:space="preserve">Chief Executive and the </w:t>
      </w:r>
      <w:r w:rsidR="00997F10">
        <w:rPr>
          <w:sz w:val="20"/>
          <w:szCs w:val="20"/>
        </w:rPr>
        <w:t>B</w:t>
      </w:r>
      <w:r w:rsidR="00DD1B98" w:rsidRPr="00ED3CEB">
        <w:rPr>
          <w:sz w:val="20"/>
          <w:szCs w:val="20"/>
        </w:rPr>
        <w:t>oard on</w:t>
      </w:r>
      <w:r w:rsidR="00997F10">
        <w:rPr>
          <w:sz w:val="20"/>
          <w:szCs w:val="20"/>
        </w:rPr>
        <w:t xml:space="preserve"> all</w:t>
      </w:r>
      <w:r w:rsidR="00DD1B98" w:rsidRPr="00ED3CEB">
        <w:rPr>
          <w:sz w:val="20"/>
          <w:szCs w:val="20"/>
        </w:rPr>
        <w:t xml:space="preserve"> IPC matters. </w:t>
      </w:r>
    </w:p>
    <w:p w14:paraId="07853241" w14:textId="5A8364A9" w:rsidR="00DD1B98" w:rsidRPr="00ED3CEB" w:rsidRDefault="009228E4" w:rsidP="00875C82">
      <w:pPr>
        <w:ind w:left="-709"/>
        <w:rPr>
          <w:sz w:val="20"/>
          <w:szCs w:val="20"/>
        </w:rPr>
      </w:pPr>
      <w:r w:rsidRPr="00ED3CEB">
        <w:rPr>
          <w:sz w:val="20"/>
          <w:szCs w:val="20"/>
        </w:rPr>
        <w:t xml:space="preserve">The </w:t>
      </w:r>
      <w:r w:rsidR="00997F10">
        <w:rPr>
          <w:sz w:val="20"/>
          <w:szCs w:val="20"/>
        </w:rPr>
        <w:t>Trust employs an Infection Control Doctor who</w:t>
      </w:r>
      <w:r w:rsidRPr="00ED3CEB">
        <w:rPr>
          <w:sz w:val="20"/>
          <w:szCs w:val="20"/>
        </w:rPr>
        <w:t xml:space="preserve"> is employed by SaTH </w:t>
      </w:r>
      <w:r w:rsidR="00546543">
        <w:rPr>
          <w:sz w:val="20"/>
          <w:szCs w:val="20"/>
        </w:rPr>
        <w:t>and has a contract to deliver services for</w:t>
      </w:r>
      <w:r w:rsidRPr="00ED3CEB">
        <w:rPr>
          <w:sz w:val="20"/>
          <w:szCs w:val="20"/>
        </w:rPr>
        <w:t xml:space="preserve"> RJAH </w:t>
      </w:r>
      <w:r w:rsidR="00546543">
        <w:rPr>
          <w:sz w:val="20"/>
          <w:szCs w:val="20"/>
        </w:rPr>
        <w:t>in the in and out of hours period</w:t>
      </w:r>
      <w:r w:rsidR="00D906CE">
        <w:rPr>
          <w:sz w:val="20"/>
          <w:szCs w:val="20"/>
        </w:rPr>
        <w:t xml:space="preserve"> </w:t>
      </w:r>
      <w:r w:rsidR="00546543">
        <w:rPr>
          <w:sz w:val="20"/>
          <w:szCs w:val="20"/>
        </w:rPr>
        <w:t>which</w:t>
      </w:r>
      <w:r w:rsidRPr="00ED3CEB">
        <w:rPr>
          <w:sz w:val="20"/>
          <w:szCs w:val="20"/>
        </w:rPr>
        <w:t xml:space="preserve"> include</w:t>
      </w:r>
      <w:r w:rsidR="00546543">
        <w:rPr>
          <w:sz w:val="20"/>
          <w:szCs w:val="20"/>
        </w:rPr>
        <w:t>s</w:t>
      </w:r>
      <w:r w:rsidRPr="00ED3CEB">
        <w:rPr>
          <w:sz w:val="20"/>
          <w:szCs w:val="20"/>
        </w:rPr>
        <w:t xml:space="preserve"> clinical </w:t>
      </w:r>
      <w:r w:rsidR="00C23FCC" w:rsidRPr="00ED3CEB">
        <w:rPr>
          <w:sz w:val="20"/>
          <w:szCs w:val="20"/>
        </w:rPr>
        <w:t>microbiology</w:t>
      </w:r>
      <w:r w:rsidRPr="00ED3CEB">
        <w:rPr>
          <w:sz w:val="20"/>
          <w:szCs w:val="20"/>
        </w:rPr>
        <w:t xml:space="preserve"> advice and reporting, microbiology</w:t>
      </w:r>
      <w:r w:rsidR="00C23FCC" w:rsidRPr="00ED3CEB">
        <w:rPr>
          <w:sz w:val="20"/>
          <w:szCs w:val="20"/>
        </w:rPr>
        <w:t xml:space="preserve"> ward round</w:t>
      </w:r>
      <w:r w:rsidRPr="00ED3CEB">
        <w:rPr>
          <w:sz w:val="20"/>
          <w:szCs w:val="20"/>
        </w:rPr>
        <w:t>s, antimicrobial stewardship and infection prevention and control advice.</w:t>
      </w:r>
      <w:r w:rsidR="00AF4271" w:rsidRPr="00ED3CEB">
        <w:rPr>
          <w:sz w:val="20"/>
          <w:szCs w:val="20"/>
        </w:rPr>
        <w:t xml:space="preserve"> </w:t>
      </w:r>
      <w:r w:rsidR="00DD1B98" w:rsidRPr="00ED3CEB">
        <w:rPr>
          <w:sz w:val="20"/>
          <w:szCs w:val="20"/>
        </w:rPr>
        <w:t xml:space="preserve">The </w:t>
      </w:r>
      <w:r w:rsidR="00B53F86" w:rsidRPr="00ED3CEB">
        <w:rPr>
          <w:sz w:val="20"/>
          <w:szCs w:val="20"/>
        </w:rPr>
        <w:t xml:space="preserve">ICD: </w:t>
      </w:r>
    </w:p>
    <w:p w14:paraId="1BE5A761" w14:textId="77777777" w:rsidR="00DD1B98" w:rsidRPr="00ED3CEB" w:rsidRDefault="00B53F86" w:rsidP="00875C82">
      <w:pPr>
        <w:pStyle w:val="ListParagraph"/>
        <w:numPr>
          <w:ilvl w:val="0"/>
          <w:numId w:val="3"/>
        </w:numPr>
        <w:ind w:left="-709"/>
        <w:rPr>
          <w:sz w:val="20"/>
          <w:szCs w:val="20"/>
        </w:rPr>
      </w:pPr>
      <w:r w:rsidRPr="00ED3CEB">
        <w:rPr>
          <w:sz w:val="20"/>
          <w:szCs w:val="20"/>
        </w:rPr>
        <w:t>Advises and supports</w:t>
      </w:r>
      <w:r w:rsidR="00DD1B98" w:rsidRPr="00ED3CEB">
        <w:rPr>
          <w:sz w:val="20"/>
          <w:szCs w:val="20"/>
        </w:rPr>
        <w:t xml:space="preserve"> the DIPC</w:t>
      </w:r>
    </w:p>
    <w:p w14:paraId="5452FDD1" w14:textId="77777777" w:rsidR="00DD1B98" w:rsidRPr="00ED3CEB" w:rsidRDefault="00DD1B98" w:rsidP="00875C82">
      <w:pPr>
        <w:pStyle w:val="ListParagraph"/>
        <w:numPr>
          <w:ilvl w:val="0"/>
          <w:numId w:val="3"/>
        </w:numPr>
        <w:ind w:left="-709"/>
        <w:rPr>
          <w:sz w:val="20"/>
          <w:szCs w:val="20"/>
        </w:rPr>
      </w:pPr>
      <w:r w:rsidRPr="00ED3CEB">
        <w:rPr>
          <w:sz w:val="20"/>
          <w:szCs w:val="20"/>
        </w:rPr>
        <w:t>Oversees local IPC policies and their implementation by ensuring that adequate laboratory support is in place</w:t>
      </w:r>
    </w:p>
    <w:p w14:paraId="0EE02301" w14:textId="77777777" w:rsidR="00DD1B98" w:rsidRPr="00ED3CEB" w:rsidRDefault="00DD1B98" w:rsidP="00875C82">
      <w:pPr>
        <w:pStyle w:val="ListParagraph"/>
        <w:numPr>
          <w:ilvl w:val="0"/>
          <w:numId w:val="3"/>
        </w:numPr>
        <w:ind w:left="-709"/>
        <w:rPr>
          <w:sz w:val="20"/>
          <w:szCs w:val="20"/>
        </w:rPr>
      </w:pPr>
      <w:r w:rsidRPr="00ED3CEB">
        <w:rPr>
          <w:sz w:val="20"/>
          <w:szCs w:val="20"/>
        </w:rPr>
        <w:t>Attends the Water Safety Group and Decontamination Group</w:t>
      </w:r>
    </w:p>
    <w:p w14:paraId="47AB9C4E" w14:textId="77777777" w:rsidR="00DD1B98" w:rsidRPr="00ED3CEB" w:rsidRDefault="00DD1B98" w:rsidP="00875C82">
      <w:pPr>
        <w:pStyle w:val="ListParagraph"/>
        <w:numPr>
          <w:ilvl w:val="0"/>
          <w:numId w:val="3"/>
        </w:numPr>
        <w:ind w:left="-709"/>
        <w:rPr>
          <w:sz w:val="20"/>
          <w:szCs w:val="20"/>
        </w:rPr>
      </w:pPr>
      <w:r w:rsidRPr="00ED3CEB">
        <w:rPr>
          <w:sz w:val="20"/>
          <w:szCs w:val="20"/>
        </w:rPr>
        <w:t>Chairs the Trust Antimicrobial Stewardship Committee</w:t>
      </w:r>
    </w:p>
    <w:p w14:paraId="1D9825FE" w14:textId="77777777" w:rsidR="00DD1B98" w:rsidRPr="00ED3CEB" w:rsidRDefault="00DD1B98" w:rsidP="00875C82">
      <w:pPr>
        <w:pStyle w:val="ListParagraph"/>
        <w:numPr>
          <w:ilvl w:val="0"/>
          <w:numId w:val="3"/>
        </w:numPr>
        <w:ind w:left="-709"/>
        <w:rPr>
          <w:sz w:val="20"/>
          <w:szCs w:val="20"/>
        </w:rPr>
      </w:pPr>
      <w:r w:rsidRPr="00ED3CEB">
        <w:rPr>
          <w:sz w:val="20"/>
          <w:szCs w:val="20"/>
        </w:rPr>
        <w:t>Provides expert clinical advice on infection management</w:t>
      </w:r>
    </w:p>
    <w:p w14:paraId="70F649F4" w14:textId="77777777" w:rsidR="005B676C" w:rsidRPr="00ED3CEB" w:rsidRDefault="005B676C" w:rsidP="00875C82">
      <w:pPr>
        <w:pStyle w:val="ListParagraph"/>
        <w:numPr>
          <w:ilvl w:val="0"/>
          <w:numId w:val="3"/>
        </w:numPr>
        <w:ind w:left="-709"/>
        <w:rPr>
          <w:sz w:val="20"/>
          <w:szCs w:val="20"/>
        </w:rPr>
      </w:pPr>
      <w:r w:rsidRPr="00ED3CEB">
        <w:rPr>
          <w:sz w:val="20"/>
          <w:szCs w:val="20"/>
        </w:rPr>
        <w:t xml:space="preserve">Attends the </w:t>
      </w:r>
      <w:r w:rsidR="009228E4" w:rsidRPr="00ED3CEB">
        <w:rPr>
          <w:sz w:val="20"/>
          <w:szCs w:val="20"/>
        </w:rPr>
        <w:t xml:space="preserve">weekly </w:t>
      </w:r>
      <w:r w:rsidRPr="00ED3CEB">
        <w:rPr>
          <w:sz w:val="20"/>
          <w:szCs w:val="20"/>
        </w:rPr>
        <w:t>I</w:t>
      </w:r>
      <w:r w:rsidR="009228E4" w:rsidRPr="00ED3CEB">
        <w:rPr>
          <w:sz w:val="20"/>
          <w:szCs w:val="20"/>
        </w:rPr>
        <w:t xml:space="preserve">nfection MDT </w:t>
      </w:r>
      <w:r w:rsidRPr="00ED3CEB">
        <w:rPr>
          <w:sz w:val="20"/>
          <w:szCs w:val="20"/>
        </w:rPr>
        <w:t xml:space="preserve">meetings </w:t>
      </w:r>
      <w:r w:rsidR="009228E4" w:rsidRPr="00ED3CEB">
        <w:rPr>
          <w:sz w:val="20"/>
          <w:szCs w:val="20"/>
        </w:rPr>
        <w:t>and provides</w:t>
      </w:r>
      <w:r w:rsidRPr="00ED3CEB">
        <w:rPr>
          <w:sz w:val="20"/>
          <w:szCs w:val="20"/>
        </w:rPr>
        <w:t xml:space="preserve"> expert advice on complex/infected cases</w:t>
      </w:r>
    </w:p>
    <w:p w14:paraId="1167F3EB" w14:textId="498DC7D7" w:rsidR="008039A7" w:rsidRPr="00D906CE" w:rsidRDefault="00DD1B98" w:rsidP="00875C82">
      <w:pPr>
        <w:pStyle w:val="ListParagraph"/>
        <w:numPr>
          <w:ilvl w:val="0"/>
          <w:numId w:val="3"/>
        </w:numPr>
        <w:ind w:left="-709"/>
        <w:rPr>
          <w:sz w:val="20"/>
          <w:szCs w:val="20"/>
        </w:rPr>
      </w:pPr>
      <w:r w:rsidRPr="00ED3CEB">
        <w:rPr>
          <w:sz w:val="20"/>
          <w:szCs w:val="20"/>
        </w:rPr>
        <w:t>Has the autho</w:t>
      </w:r>
      <w:r w:rsidR="009228E4" w:rsidRPr="00ED3CEB">
        <w:rPr>
          <w:sz w:val="20"/>
          <w:szCs w:val="20"/>
        </w:rPr>
        <w:t xml:space="preserve">rity to challenge clinical </w:t>
      </w:r>
      <w:r w:rsidRPr="00ED3CEB">
        <w:rPr>
          <w:sz w:val="20"/>
          <w:szCs w:val="20"/>
        </w:rPr>
        <w:t xml:space="preserve">practice including inappropriate </w:t>
      </w:r>
      <w:r w:rsidR="009228E4" w:rsidRPr="00ED3CEB">
        <w:rPr>
          <w:sz w:val="20"/>
          <w:szCs w:val="20"/>
        </w:rPr>
        <w:t>antibiotic prescribing.</w:t>
      </w:r>
    </w:p>
    <w:p w14:paraId="03D1CC9C" w14:textId="77777777" w:rsidR="00C80B1D" w:rsidRPr="009A7064" w:rsidRDefault="00C80B1D" w:rsidP="00875C82">
      <w:pPr>
        <w:pStyle w:val="NoSpacing"/>
        <w:ind w:left="-709"/>
      </w:pPr>
    </w:p>
    <w:p w14:paraId="22A31EC4" w14:textId="77777777" w:rsidR="009477C1" w:rsidRPr="00ED3CEB" w:rsidRDefault="009477C1" w:rsidP="00875C82">
      <w:pPr>
        <w:autoSpaceDE w:val="0"/>
        <w:autoSpaceDN w:val="0"/>
        <w:adjustRightInd w:val="0"/>
        <w:ind w:left="-709"/>
        <w:rPr>
          <w:rFonts w:cs="Arial"/>
          <w:b/>
          <w:bCs/>
          <w:sz w:val="22"/>
        </w:rPr>
      </w:pPr>
      <w:r w:rsidRPr="00ED3CEB">
        <w:rPr>
          <w:rFonts w:cs="Arial"/>
          <w:b/>
          <w:bCs/>
          <w:sz w:val="22"/>
        </w:rPr>
        <w:t>The Infection Prevention and Control Team (IPCT)</w:t>
      </w:r>
    </w:p>
    <w:p w14:paraId="66E0117A" w14:textId="77180BA2" w:rsidR="009477C1" w:rsidRPr="00ED3CEB" w:rsidRDefault="009477C1" w:rsidP="00875C82">
      <w:pPr>
        <w:autoSpaceDE w:val="0"/>
        <w:autoSpaceDN w:val="0"/>
        <w:adjustRightInd w:val="0"/>
        <w:ind w:left="-709"/>
        <w:rPr>
          <w:rFonts w:cs="Arial"/>
          <w:noProof/>
          <w:sz w:val="20"/>
          <w:szCs w:val="20"/>
        </w:rPr>
      </w:pPr>
      <w:r w:rsidRPr="00ED3CEB">
        <w:rPr>
          <w:rFonts w:cs="Arial"/>
          <w:sz w:val="20"/>
          <w:szCs w:val="20"/>
        </w:rPr>
        <w:t xml:space="preserve">The Infection Prevention and Control Team (IPCT) are the medical and nursing infection prevention and control specialists responsible for </w:t>
      </w:r>
      <w:r w:rsidR="00997F10">
        <w:rPr>
          <w:rFonts w:cs="Arial"/>
          <w:sz w:val="20"/>
          <w:szCs w:val="20"/>
        </w:rPr>
        <w:t xml:space="preserve">providing a proactive IPC service to the Trust aligned to the National Infection Prevention and Control Manual, the IPC Strategy and their </w:t>
      </w:r>
      <w:proofErr w:type="spellStart"/>
      <w:r w:rsidR="00997F10">
        <w:rPr>
          <w:rFonts w:cs="Arial"/>
          <w:sz w:val="20"/>
          <w:szCs w:val="20"/>
        </w:rPr>
        <w:t>progamme</w:t>
      </w:r>
      <w:proofErr w:type="spellEnd"/>
      <w:r w:rsidR="00997F10">
        <w:rPr>
          <w:rFonts w:cs="Arial"/>
          <w:sz w:val="20"/>
          <w:szCs w:val="20"/>
        </w:rPr>
        <w:t xml:space="preserve"> of works.</w:t>
      </w:r>
    </w:p>
    <w:p w14:paraId="3D0B7214" w14:textId="77777777" w:rsidR="009477C1" w:rsidRPr="00ED3CEB" w:rsidRDefault="009477C1" w:rsidP="00875C82">
      <w:pPr>
        <w:autoSpaceDE w:val="0"/>
        <w:autoSpaceDN w:val="0"/>
        <w:adjustRightInd w:val="0"/>
        <w:ind w:left="-709"/>
        <w:rPr>
          <w:rFonts w:cs="Arial"/>
          <w:noProof/>
          <w:sz w:val="20"/>
          <w:szCs w:val="20"/>
        </w:rPr>
      </w:pPr>
      <w:r w:rsidRPr="00ED3CEB">
        <w:rPr>
          <w:rFonts w:cs="Arial"/>
          <w:noProof/>
          <w:sz w:val="20"/>
          <w:szCs w:val="20"/>
        </w:rPr>
        <w:t>RJAH Orthopaedic Hospital NHS Foundation Trust (RJAH) IPCT currently consists of:</w:t>
      </w:r>
    </w:p>
    <w:p w14:paraId="7B242D4C" w14:textId="77777777" w:rsidR="00B53F86" w:rsidRPr="00ED3CEB" w:rsidRDefault="00B53F86" w:rsidP="00875C82">
      <w:pPr>
        <w:autoSpaceDE w:val="0"/>
        <w:autoSpaceDN w:val="0"/>
        <w:adjustRightInd w:val="0"/>
        <w:ind w:left="-709"/>
        <w:rPr>
          <w:rFonts w:cs="Arial"/>
          <w:sz w:val="20"/>
          <w:szCs w:val="20"/>
        </w:rPr>
      </w:pPr>
    </w:p>
    <w:p w14:paraId="188A804D" w14:textId="77D34B2A" w:rsidR="00546543" w:rsidRDefault="00546543" w:rsidP="00875C82">
      <w:pPr>
        <w:pStyle w:val="ListParagraph"/>
        <w:numPr>
          <w:ilvl w:val="0"/>
          <w:numId w:val="2"/>
        </w:numPr>
        <w:spacing w:before="0" w:after="200" w:line="276" w:lineRule="auto"/>
        <w:ind w:left="-709"/>
        <w:rPr>
          <w:rFonts w:cs="Arial"/>
          <w:sz w:val="20"/>
          <w:szCs w:val="20"/>
        </w:rPr>
      </w:pPr>
      <w:r>
        <w:rPr>
          <w:rFonts w:cs="Arial"/>
          <w:sz w:val="20"/>
          <w:szCs w:val="20"/>
        </w:rPr>
        <w:t>Deputy Director of IPC (0.5 WTE)</w:t>
      </w:r>
    </w:p>
    <w:p w14:paraId="0DCCE9D5" w14:textId="298B8E6A" w:rsidR="006A1BD6" w:rsidRPr="00ED3CEB" w:rsidRDefault="009477C1" w:rsidP="00875C82">
      <w:pPr>
        <w:pStyle w:val="ListParagraph"/>
        <w:numPr>
          <w:ilvl w:val="0"/>
          <w:numId w:val="2"/>
        </w:numPr>
        <w:spacing w:before="0" w:after="200" w:line="276" w:lineRule="auto"/>
        <w:ind w:left="-709"/>
        <w:rPr>
          <w:rFonts w:cs="Arial"/>
          <w:sz w:val="20"/>
          <w:szCs w:val="20"/>
        </w:rPr>
      </w:pPr>
      <w:r w:rsidRPr="00ED3CEB">
        <w:rPr>
          <w:rFonts w:cs="Arial"/>
          <w:sz w:val="20"/>
          <w:szCs w:val="20"/>
        </w:rPr>
        <w:t>Infection Prevention a</w:t>
      </w:r>
      <w:r w:rsidR="003062A1" w:rsidRPr="00ED3CEB">
        <w:rPr>
          <w:rFonts w:cs="Arial"/>
          <w:sz w:val="20"/>
          <w:szCs w:val="20"/>
        </w:rPr>
        <w:t>nd Control Lead Nurse</w:t>
      </w:r>
      <w:r w:rsidRPr="00ED3CEB">
        <w:rPr>
          <w:rFonts w:cs="Arial"/>
          <w:sz w:val="20"/>
          <w:szCs w:val="20"/>
        </w:rPr>
        <w:t xml:space="preserve">: </w:t>
      </w:r>
      <w:r w:rsidR="006A1BD6" w:rsidRPr="00ED3CEB">
        <w:rPr>
          <w:rFonts w:cs="Arial"/>
          <w:sz w:val="20"/>
          <w:szCs w:val="20"/>
        </w:rPr>
        <w:t xml:space="preserve">Band 7 </w:t>
      </w:r>
      <w:r w:rsidRPr="00ED3CEB">
        <w:rPr>
          <w:rFonts w:cs="Arial"/>
          <w:sz w:val="20"/>
          <w:szCs w:val="20"/>
        </w:rPr>
        <w:t xml:space="preserve">(1 WTE) </w:t>
      </w:r>
    </w:p>
    <w:p w14:paraId="1AC8F102" w14:textId="6797821C" w:rsidR="006A1BD6" w:rsidRPr="00ED3CEB" w:rsidRDefault="003062A1" w:rsidP="00875C82">
      <w:pPr>
        <w:pStyle w:val="ListParagraph"/>
        <w:numPr>
          <w:ilvl w:val="0"/>
          <w:numId w:val="2"/>
        </w:numPr>
        <w:spacing w:before="0" w:after="200" w:line="276" w:lineRule="auto"/>
        <w:ind w:left="-709"/>
        <w:rPr>
          <w:rFonts w:cs="Arial"/>
          <w:sz w:val="20"/>
          <w:szCs w:val="20"/>
        </w:rPr>
      </w:pPr>
      <w:r w:rsidRPr="00ED3CEB">
        <w:rPr>
          <w:rFonts w:cs="Arial"/>
          <w:sz w:val="20"/>
          <w:szCs w:val="20"/>
        </w:rPr>
        <w:t xml:space="preserve">Infection Prevention &amp; Control Nurse Specialist: </w:t>
      </w:r>
      <w:r w:rsidR="006A1BD6" w:rsidRPr="00ED3CEB">
        <w:rPr>
          <w:rFonts w:cs="Arial"/>
          <w:sz w:val="20"/>
          <w:szCs w:val="20"/>
        </w:rPr>
        <w:t xml:space="preserve">Band 6 </w:t>
      </w:r>
      <w:r w:rsidRPr="00ED3CEB">
        <w:rPr>
          <w:rFonts w:cs="Arial"/>
          <w:sz w:val="20"/>
          <w:szCs w:val="20"/>
        </w:rPr>
        <w:t xml:space="preserve">(1 WTE) </w:t>
      </w:r>
    </w:p>
    <w:p w14:paraId="08F2CDF8" w14:textId="2833E0EE" w:rsidR="003062A1" w:rsidRPr="00ED3CEB" w:rsidRDefault="006A1BD6" w:rsidP="00875C82">
      <w:pPr>
        <w:pStyle w:val="ListParagraph"/>
        <w:numPr>
          <w:ilvl w:val="0"/>
          <w:numId w:val="2"/>
        </w:numPr>
        <w:spacing w:before="0" w:after="200" w:line="276" w:lineRule="auto"/>
        <w:ind w:left="-709"/>
        <w:rPr>
          <w:rFonts w:cs="Arial"/>
          <w:sz w:val="20"/>
          <w:szCs w:val="20"/>
        </w:rPr>
      </w:pPr>
      <w:r w:rsidRPr="00ED3CEB">
        <w:rPr>
          <w:rFonts w:cs="Arial"/>
          <w:sz w:val="20"/>
          <w:szCs w:val="20"/>
        </w:rPr>
        <w:t xml:space="preserve">IPC Assurance Lead (1 WTE): Band 6 </w:t>
      </w:r>
    </w:p>
    <w:p w14:paraId="1C5896CA" w14:textId="4DFBB657" w:rsidR="006A1BD6" w:rsidRPr="00ED3CEB" w:rsidRDefault="009477C1" w:rsidP="00875C82">
      <w:pPr>
        <w:pStyle w:val="ListParagraph"/>
        <w:numPr>
          <w:ilvl w:val="0"/>
          <w:numId w:val="2"/>
        </w:numPr>
        <w:spacing w:before="0" w:after="200" w:line="276" w:lineRule="auto"/>
        <w:ind w:left="-709"/>
        <w:rPr>
          <w:rFonts w:cs="Arial"/>
          <w:sz w:val="20"/>
          <w:szCs w:val="20"/>
        </w:rPr>
      </w:pPr>
      <w:r w:rsidRPr="00ED3CEB">
        <w:rPr>
          <w:rFonts w:cs="Arial"/>
          <w:sz w:val="20"/>
          <w:szCs w:val="20"/>
        </w:rPr>
        <w:t>Surgi</w:t>
      </w:r>
      <w:r w:rsidR="00B63E46" w:rsidRPr="00ED3CEB">
        <w:rPr>
          <w:rFonts w:cs="Arial"/>
          <w:sz w:val="20"/>
          <w:szCs w:val="20"/>
        </w:rPr>
        <w:t>cal Site Surveillance Nurse</w:t>
      </w:r>
      <w:r w:rsidR="00A00508" w:rsidRPr="00ED3CEB">
        <w:rPr>
          <w:rFonts w:cs="Arial"/>
          <w:sz w:val="20"/>
          <w:szCs w:val="20"/>
        </w:rPr>
        <w:t>:</w:t>
      </w:r>
      <w:r w:rsidR="006A1BD6" w:rsidRPr="00ED3CEB">
        <w:rPr>
          <w:rFonts w:cs="Arial"/>
          <w:sz w:val="20"/>
          <w:szCs w:val="20"/>
        </w:rPr>
        <w:t xml:space="preserve"> Band 5</w:t>
      </w:r>
      <w:r w:rsidR="00B63E46" w:rsidRPr="00ED3CEB">
        <w:rPr>
          <w:rFonts w:cs="Arial"/>
          <w:sz w:val="20"/>
          <w:szCs w:val="20"/>
        </w:rPr>
        <w:t xml:space="preserve"> </w:t>
      </w:r>
      <w:r w:rsidR="00745F33" w:rsidRPr="00ED3CEB">
        <w:rPr>
          <w:rFonts w:cs="Arial"/>
          <w:sz w:val="20"/>
          <w:szCs w:val="20"/>
        </w:rPr>
        <w:t>(</w:t>
      </w:r>
      <w:r w:rsidR="00BA4516" w:rsidRPr="00ED3CEB">
        <w:rPr>
          <w:rFonts w:cs="Arial"/>
          <w:sz w:val="20"/>
          <w:szCs w:val="20"/>
        </w:rPr>
        <w:t>0.4</w:t>
      </w:r>
      <w:r w:rsidR="00A00508" w:rsidRPr="00ED3CEB">
        <w:rPr>
          <w:rFonts w:cs="Arial"/>
          <w:sz w:val="20"/>
          <w:szCs w:val="20"/>
        </w:rPr>
        <w:t xml:space="preserve"> </w:t>
      </w:r>
      <w:r w:rsidR="00745F33" w:rsidRPr="00ED3CEB">
        <w:rPr>
          <w:rFonts w:cs="Arial"/>
          <w:sz w:val="20"/>
          <w:szCs w:val="20"/>
        </w:rPr>
        <w:t>WTE)</w:t>
      </w:r>
      <w:r w:rsidR="00131344" w:rsidRPr="00ED3CEB">
        <w:rPr>
          <w:rFonts w:cs="Arial"/>
          <w:sz w:val="20"/>
          <w:szCs w:val="20"/>
        </w:rPr>
        <w:t xml:space="preserve"> </w:t>
      </w:r>
    </w:p>
    <w:p w14:paraId="1E408E42" w14:textId="18C23488" w:rsidR="00BA4516" w:rsidRPr="00ED3CEB" w:rsidRDefault="006A1BD6" w:rsidP="00875C82">
      <w:pPr>
        <w:pStyle w:val="ListParagraph"/>
        <w:numPr>
          <w:ilvl w:val="0"/>
          <w:numId w:val="2"/>
        </w:numPr>
        <w:spacing w:before="0" w:after="200" w:line="276" w:lineRule="auto"/>
        <w:ind w:left="-709"/>
        <w:rPr>
          <w:rFonts w:cs="Arial"/>
          <w:sz w:val="20"/>
          <w:szCs w:val="20"/>
        </w:rPr>
      </w:pPr>
      <w:r w:rsidRPr="00ED3CEB">
        <w:rPr>
          <w:rFonts w:cs="Arial"/>
          <w:sz w:val="20"/>
          <w:szCs w:val="20"/>
        </w:rPr>
        <w:t>Surgical Site Surveillance Practitioner Band 5 (1 WTE commenced in post May 23)</w:t>
      </w:r>
    </w:p>
    <w:p w14:paraId="214E0F7E" w14:textId="543454F6" w:rsidR="006A1BD6" w:rsidRPr="00ED3CEB" w:rsidRDefault="006A1BD6" w:rsidP="00875C82">
      <w:pPr>
        <w:pStyle w:val="ListParagraph"/>
        <w:numPr>
          <w:ilvl w:val="0"/>
          <w:numId w:val="2"/>
        </w:numPr>
        <w:spacing w:before="0" w:after="200" w:line="276" w:lineRule="auto"/>
        <w:ind w:left="-709"/>
        <w:rPr>
          <w:rFonts w:cs="Arial"/>
          <w:sz w:val="20"/>
          <w:szCs w:val="20"/>
        </w:rPr>
      </w:pPr>
      <w:r w:rsidRPr="00ED3CEB">
        <w:rPr>
          <w:rFonts w:cs="Arial"/>
          <w:sz w:val="20"/>
          <w:szCs w:val="20"/>
        </w:rPr>
        <w:t>IPC Support Worker Band 3 (1 WTE commenced in post May 23)</w:t>
      </w:r>
    </w:p>
    <w:p w14:paraId="6B914A47" w14:textId="77777777" w:rsidR="00546543" w:rsidRDefault="00192569" w:rsidP="00875C82">
      <w:pPr>
        <w:pStyle w:val="ListParagraph"/>
        <w:numPr>
          <w:ilvl w:val="0"/>
          <w:numId w:val="2"/>
        </w:numPr>
        <w:spacing w:before="0" w:after="200" w:line="276" w:lineRule="auto"/>
        <w:ind w:left="-709"/>
        <w:rPr>
          <w:rFonts w:cs="Arial"/>
          <w:sz w:val="20"/>
          <w:szCs w:val="20"/>
        </w:rPr>
      </w:pPr>
      <w:r w:rsidRPr="00ED3CEB">
        <w:rPr>
          <w:rFonts w:cs="Arial"/>
          <w:sz w:val="20"/>
          <w:szCs w:val="20"/>
        </w:rPr>
        <w:t>I</w:t>
      </w:r>
      <w:r w:rsidR="006A1BD6" w:rsidRPr="00ED3CEB">
        <w:rPr>
          <w:rFonts w:cs="Arial"/>
          <w:sz w:val="20"/>
          <w:szCs w:val="20"/>
        </w:rPr>
        <w:t>PC Administrator/Support Secretary</w:t>
      </w:r>
      <w:r w:rsidR="001727EB" w:rsidRPr="00ED3CEB">
        <w:rPr>
          <w:rFonts w:cs="Arial"/>
          <w:sz w:val="20"/>
          <w:szCs w:val="20"/>
        </w:rPr>
        <w:t xml:space="preserve"> </w:t>
      </w:r>
      <w:r w:rsidR="006A1BD6" w:rsidRPr="00ED3CEB">
        <w:rPr>
          <w:rFonts w:cs="Arial"/>
          <w:sz w:val="20"/>
          <w:szCs w:val="20"/>
        </w:rPr>
        <w:t xml:space="preserve">Band 2 </w:t>
      </w:r>
      <w:r w:rsidR="003062A1" w:rsidRPr="00ED3CEB">
        <w:rPr>
          <w:rFonts w:cs="Arial"/>
          <w:sz w:val="20"/>
          <w:szCs w:val="20"/>
        </w:rPr>
        <w:t>(1 WTE</w:t>
      </w:r>
      <w:r w:rsidR="00F15D1C" w:rsidRPr="00ED3CEB">
        <w:rPr>
          <w:rFonts w:cs="Arial"/>
          <w:sz w:val="20"/>
          <w:szCs w:val="20"/>
        </w:rPr>
        <w:t xml:space="preserve"> </w:t>
      </w:r>
      <w:r w:rsidR="006A1BD6" w:rsidRPr="00ED3CEB">
        <w:rPr>
          <w:rFonts w:cs="Arial"/>
          <w:sz w:val="20"/>
          <w:szCs w:val="20"/>
        </w:rPr>
        <w:t>commenced in post Nov</w:t>
      </w:r>
      <w:r w:rsidR="00F15D1C" w:rsidRPr="00ED3CEB">
        <w:rPr>
          <w:rFonts w:cs="Arial"/>
          <w:sz w:val="20"/>
          <w:szCs w:val="20"/>
        </w:rPr>
        <w:t xml:space="preserve"> 22)</w:t>
      </w:r>
      <w:r w:rsidR="00546543" w:rsidRPr="00546543">
        <w:rPr>
          <w:rFonts w:cs="Arial"/>
          <w:sz w:val="20"/>
          <w:szCs w:val="20"/>
        </w:rPr>
        <w:t xml:space="preserve"> </w:t>
      </w:r>
    </w:p>
    <w:p w14:paraId="594FF5E2" w14:textId="1C2A5069" w:rsidR="00F15D1C" w:rsidRPr="00D906CE" w:rsidRDefault="00546543" w:rsidP="00875C82">
      <w:pPr>
        <w:pStyle w:val="ListParagraph"/>
        <w:numPr>
          <w:ilvl w:val="0"/>
          <w:numId w:val="2"/>
        </w:numPr>
        <w:spacing w:before="0" w:after="200" w:line="276" w:lineRule="auto"/>
        <w:ind w:left="-709"/>
        <w:rPr>
          <w:rFonts w:cs="Arial"/>
          <w:sz w:val="20"/>
          <w:szCs w:val="20"/>
        </w:rPr>
      </w:pPr>
      <w:r w:rsidRPr="00ED3CEB">
        <w:rPr>
          <w:rFonts w:cs="Arial"/>
          <w:sz w:val="20"/>
          <w:szCs w:val="20"/>
        </w:rPr>
        <w:t xml:space="preserve">The Infection Control Doctor (0.4 WTE) </w:t>
      </w:r>
    </w:p>
    <w:p w14:paraId="5DE95E00" w14:textId="32DC7D09" w:rsidR="00627160" w:rsidRDefault="00C974CF" w:rsidP="00875C82">
      <w:pPr>
        <w:spacing w:before="0" w:after="200" w:line="276" w:lineRule="auto"/>
        <w:ind w:left="-709"/>
        <w:rPr>
          <w:rFonts w:cs="Arial"/>
          <w:sz w:val="20"/>
          <w:szCs w:val="20"/>
        </w:rPr>
      </w:pPr>
      <w:r w:rsidRPr="00ED3CEB">
        <w:rPr>
          <w:rFonts w:cs="Arial"/>
          <w:sz w:val="20"/>
          <w:szCs w:val="20"/>
        </w:rPr>
        <w:t>I</w:t>
      </w:r>
      <w:r w:rsidR="006A1BD6" w:rsidRPr="00ED3CEB">
        <w:rPr>
          <w:rFonts w:cs="Arial"/>
          <w:sz w:val="20"/>
          <w:szCs w:val="20"/>
        </w:rPr>
        <w:t>n November 22</w:t>
      </w:r>
      <w:r w:rsidRPr="00ED3CEB">
        <w:rPr>
          <w:rFonts w:cs="Arial"/>
          <w:sz w:val="20"/>
          <w:szCs w:val="20"/>
        </w:rPr>
        <w:t xml:space="preserve"> the IPC Data Analyst</w:t>
      </w:r>
      <w:r w:rsidR="006A1BD6" w:rsidRPr="00ED3CEB">
        <w:rPr>
          <w:rFonts w:cs="Arial"/>
          <w:sz w:val="20"/>
          <w:szCs w:val="20"/>
        </w:rPr>
        <w:t xml:space="preserve"> role was uplifted to</w:t>
      </w:r>
      <w:r w:rsidRPr="00ED3CEB">
        <w:rPr>
          <w:rFonts w:cs="Arial"/>
          <w:sz w:val="20"/>
          <w:szCs w:val="20"/>
        </w:rPr>
        <w:t xml:space="preserve"> </w:t>
      </w:r>
      <w:r w:rsidR="0025595B" w:rsidRPr="00ED3CEB">
        <w:rPr>
          <w:rFonts w:cs="Arial"/>
          <w:sz w:val="20"/>
          <w:szCs w:val="20"/>
        </w:rPr>
        <w:t xml:space="preserve">a permanent </w:t>
      </w:r>
      <w:r w:rsidRPr="00ED3CEB">
        <w:rPr>
          <w:rFonts w:cs="Arial"/>
          <w:sz w:val="20"/>
          <w:szCs w:val="20"/>
        </w:rPr>
        <w:t xml:space="preserve">IPC </w:t>
      </w:r>
      <w:r w:rsidR="006A1BD6" w:rsidRPr="00ED3CEB">
        <w:rPr>
          <w:rFonts w:cs="Arial"/>
          <w:sz w:val="20"/>
          <w:szCs w:val="20"/>
        </w:rPr>
        <w:t>Assurance</w:t>
      </w:r>
      <w:r w:rsidRPr="00ED3CEB">
        <w:rPr>
          <w:rFonts w:cs="Arial"/>
          <w:sz w:val="20"/>
          <w:szCs w:val="20"/>
        </w:rPr>
        <w:t xml:space="preserve"> Lead</w:t>
      </w:r>
      <w:r w:rsidR="0025595B" w:rsidRPr="00ED3CEB">
        <w:rPr>
          <w:rFonts w:cs="Arial"/>
          <w:sz w:val="20"/>
          <w:szCs w:val="20"/>
        </w:rPr>
        <w:t>.</w:t>
      </w:r>
      <w:r w:rsidRPr="00ED3CEB">
        <w:rPr>
          <w:rFonts w:cs="Arial"/>
          <w:sz w:val="20"/>
          <w:szCs w:val="20"/>
        </w:rPr>
        <w:t xml:space="preserve"> </w:t>
      </w:r>
      <w:r w:rsidR="00901CD0">
        <w:rPr>
          <w:rFonts w:cs="Arial"/>
          <w:sz w:val="20"/>
          <w:szCs w:val="20"/>
        </w:rPr>
        <w:t>T</w:t>
      </w:r>
      <w:r w:rsidRPr="00ED3CEB">
        <w:rPr>
          <w:rFonts w:cs="Arial"/>
          <w:sz w:val="20"/>
          <w:szCs w:val="20"/>
        </w:rPr>
        <w:t xml:space="preserve">he IPC </w:t>
      </w:r>
      <w:r w:rsidR="0025595B" w:rsidRPr="00ED3CEB">
        <w:rPr>
          <w:rFonts w:cs="Arial"/>
          <w:sz w:val="20"/>
          <w:szCs w:val="20"/>
        </w:rPr>
        <w:t>Assurance Lead will continue to manage the</w:t>
      </w:r>
      <w:r w:rsidRPr="00ED3CEB">
        <w:rPr>
          <w:rFonts w:cs="Arial"/>
          <w:sz w:val="20"/>
          <w:szCs w:val="20"/>
        </w:rPr>
        <w:t xml:space="preserve"> IPC Quality Management System </w:t>
      </w:r>
      <w:r w:rsidR="00677399" w:rsidRPr="00ED3CEB">
        <w:rPr>
          <w:rFonts w:cs="Arial"/>
          <w:sz w:val="20"/>
          <w:szCs w:val="20"/>
        </w:rPr>
        <w:t xml:space="preserve">(QMS) to refine and strengthen governance within the department. </w:t>
      </w:r>
    </w:p>
    <w:p w14:paraId="14645268" w14:textId="6913324E" w:rsidR="0092798E" w:rsidRPr="006F018B" w:rsidRDefault="0092798E" w:rsidP="00875C82">
      <w:pPr>
        <w:spacing w:before="0" w:after="200" w:line="276" w:lineRule="auto"/>
        <w:ind w:left="-709"/>
        <w:rPr>
          <w:rFonts w:cs="Arial"/>
          <w:sz w:val="22"/>
        </w:rPr>
      </w:pPr>
      <w:r w:rsidRPr="006F018B">
        <w:rPr>
          <w:rFonts w:cs="Arial"/>
          <w:sz w:val="20"/>
          <w:szCs w:val="20"/>
        </w:rPr>
        <w:t xml:space="preserve">In March 2022, we said goodbye to our B7 IPC Lead Nurse Sue Sayles who has taken retirement after a </w:t>
      </w:r>
      <w:proofErr w:type="gramStart"/>
      <w:r w:rsidRPr="006F018B">
        <w:rPr>
          <w:rFonts w:cs="Arial"/>
          <w:sz w:val="20"/>
          <w:szCs w:val="20"/>
        </w:rPr>
        <w:t>13 year</w:t>
      </w:r>
      <w:proofErr w:type="gramEnd"/>
      <w:r w:rsidRPr="006F018B">
        <w:rPr>
          <w:rFonts w:cs="Arial"/>
          <w:sz w:val="20"/>
          <w:szCs w:val="20"/>
        </w:rPr>
        <w:t xml:space="preserve"> career in infection prevention and control.</w:t>
      </w:r>
      <w:r w:rsidR="002A1678" w:rsidRPr="006F018B">
        <w:rPr>
          <w:rFonts w:cs="Arial"/>
          <w:sz w:val="20"/>
          <w:szCs w:val="20"/>
        </w:rPr>
        <w:t xml:space="preserve"> </w:t>
      </w:r>
      <w:r w:rsidR="00997F10" w:rsidRPr="006F018B">
        <w:rPr>
          <w:rFonts w:cs="Arial"/>
          <w:sz w:val="20"/>
          <w:szCs w:val="20"/>
        </w:rPr>
        <w:t>The Trust thank Sue for the hard work and dedication to the role at RJAH. We are delighted to announce that we are not losing her services as she continues to work in a role aligned to patient care</w:t>
      </w:r>
      <w:r w:rsidR="00997F10" w:rsidRPr="006F018B">
        <w:rPr>
          <w:rFonts w:cs="Arial"/>
          <w:sz w:val="22"/>
        </w:rPr>
        <w:t xml:space="preserve">. </w:t>
      </w:r>
      <w:r w:rsidR="002A1678" w:rsidRPr="006F018B">
        <w:rPr>
          <w:rFonts w:cs="Arial"/>
          <w:sz w:val="22"/>
        </w:rPr>
        <w:t xml:space="preserve"> </w:t>
      </w:r>
      <w:r w:rsidRPr="006F018B">
        <w:rPr>
          <w:rFonts w:cs="Arial"/>
          <w:sz w:val="22"/>
        </w:rPr>
        <w:t xml:space="preserve">  </w:t>
      </w:r>
    </w:p>
    <w:p w14:paraId="4E95C746" w14:textId="59329031" w:rsidR="00247F64" w:rsidRPr="00ED3CEB" w:rsidRDefault="00DE6E70" w:rsidP="00875C82">
      <w:pPr>
        <w:autoSpaceDE w:val="0"/>
        <w:autoSpaceDN w:val="0"/>
        <w:adjustRightInd w:val="0"/>
        <w:ind w:left="-709"/>
        <w:rPr>
          <w:b/>
          <w:sz w:val="22"/>
        </w:rPr>
      </w:pPr>
      <w:r w:rsidRPr="00ED3CEB">
        <w:rPr>
          <w:b/>
          <w:sz w:val="22"/>
        </w:rPr>
        <w:t xml:space="preserve">The </w:t>
      </w:r>
      <w:r w:rsidR="00247F64" w:rsidRPr="00ED3CEB">
        <w:rPr>
          <w:b/>
          <w:sz w:val="22"/>
        </w:rPr>
        <w:t xml:space="preserve">Antimicrobial </w:t>
      </w:r>
      <w:r w:rsidRPr="00ED3CEB">
        <w:rPr>
          <w:b/>
          <w:sz w:val="22"/>
        </w:rPr>
        <w:t>Pharmacist</w:t>
      </w:r>
      <w:r w:rsidR="0062136A" w:rsidRPr="00ED3CEB">
        <w:rPr>
          <w:b/>
          <w:sz w:val="22"/>
        </w:rPr>
        <w:t xml:space="preserve"> </w:t>
      </w:r>
    </w:p>
    <w:p w14:paraId="630AB513" w14:textId="3AF55F2A" w:rsidR="00DE6E70" w:rsidRPr="00ED3CEB" w:rsidRDefault="008312DA" w:rsidP="00875C82">
      <w:pPr>
        <w:autoSpaceDE w:val="0"/>
        <w:autoSpaceDN w:val="0"/>
        <w:adjustRightInd w:val="0"/>
        <w:ind w:left="-709"/>
        <w:rPr>
          <w:rFonts w:cs="Arial"/>
          <w:sz w:val="20"/>
          <w:szCs w:val="20"/>
        </w:rPr>
      </w:pPr>
      <w:r w:rsidRPr="00ED3CEB">
        <w:rPr>
          <w:sz w:val="20"/>
          <w:szCs w:val="20"/>
        </w:rPr>
        <w:lastRenderedPageBreak/>
        <w:t xml:space="preserve">The Trust </w:t>
      </w:r>
      <w:r w:rsidR="00997F10">
        <w:rPr>
          <w:sz w:val="20"/>
          <w:szCs w:val="20"/>
        </w:rPr>
        <w:t xml:space="preserve">has a designated </w:t>
      </w:r>
      <w:r w:rsidR="00DE6E70" w:rsidRPr="00ED3CEB">
        <w:rPr>
          <w:sz w:val="20"/>
          <w:szCs w:val="20"/>
        </w:rPr>
        <w:t xml:space="preserve">Antimicrobial Pharmacist </w:t>
      </w:r>
      <w:r w:rsidR="00997F10">
        <w:rPr>
          <w:sz w:val="20"/>
          <w:szCs w:val="20"/>
        </w:rPr>
        <w:t>role. They</w:t>
      </w:r>
      <w:r w:rsidR="00DE6E70" w:rsidRPr="00ED3CEB">
        <w:rPr>
          <w:sz w:val="20"/>
          <w:szCs w:val="20"/>
        </w:rPr>
        <w:t xml:space="preserve"> work</w:t>
      </w:r>
      <w:r w:rsidR="003839C3">
        <w:rPr>
          <w:sz w:val="20"/>
          <w:szCs w:val="20"/>
        </w:rPr>
        <w:t xml:space="preserve"> </w:t>
      </w:r>
      <w:r w:rsidR="00DE6E70" w:rsidRPr="00ED3CEB">
        <w:rPr>
          <w:sz w:val="20"/>
          <w:szCs w:val="20"/>
        </w:rPr>
        <w:t xml:space="preserve">with the ICD and other members of the IPC team. The role of the antimicrobial </w:t>
      </w:r>
      <w:r w:rsidR="00DE6E70" w:rsidRPr="00ED3CEB">
        <w:rPr>
          <w:rFonts w:cs="Arial"/>
          <w:sz w:val="20"/>
          <w:szCs w:val="20"/>
        </w:rPr>
        <w:t xml:space="preserve">pharmacist includes: </w:t>
      </w:r>
    </w:p>
    <w:p w14:paraId="2CD18247" w14:textId="77777777" w:rsidR="00DE6E70" w:rsidRPr="00ED3CEB" w:rsidRDefault="00DE6E70" w:rsidP="00CE0762">
      <w:pPr>
        <w:pStyle w:val="ListParagraph"/>
        <w:numPr>
          <w:ilvl w:val="0"/>
          <w:numId w:val="44"/>
        </w:numPr>
        <w:tabs>
          <w:tab w:val="left" w:pos="993"/>
        </w:tabs>
        <w:autoSpaceDE w:val="0"/>
        <w:autoSpaceDN w:val="0"/>
        <w:adjustRightInd w:val="0"/>
        <w:ind w:left="0"/>
        <w:rPr>
          <w:sz w:val="20"/>
          <w:szCs w:val="20"/>
        </w:rPr>
      </w:pPr>
      <w:r w:rsidRPr="00ED3CEB">
        <w:rPr>
          <w:rFonts w:cs="Arial"/>
          <w:sz w:val="20"/>
          <w:szCs w:val="20"/>
        </w:rPr>
        <w:t>Attending and contributing to the Trust Infection Prevention &amp; Control Committee</w:t>
      </w:r>
      <w:r w:rsidRPr="00ED3CEB">
        <w:rPr>
          <w:sz w:val="20"/>
          <w:szCs w:val="20"/>
        </w:rPr>
        <w:t xml:space="preserve"> meetings</w:t>
      </w:r>
      <w:r w:rsidR="0062136A" w:rsidRPr="00ED3CEB">
        <w:rPr>
          <w:sz w:val="20"/>
          <w:szCs w:val="20"/>
        </w:rPr>
        <w:t xml:space="preserve">, weekly Infection MDT </w:t>
      </w:r>
      <w:proofErr w:type="gramStart"/>
      <w:r w:rsidR="0062136A" w:rsidRPr="00ED3CEB">
        <w:rPr>
          <w:sz w:val="20"/>
          <w:szCs w:val="20"/>
        </w:rPr>
        <w:t>Meeting</w:t>
      </w:r>
      <w:r w:rsidR="008312DA" w:rsidRPr="00ED3CEB">
        <w:rPr>
          <w:sz w:val="20"/>
          <w:szCs w:val="20"/>
        </w:rPr>
        <w:t>s</w:t>
      </w:r>
      <w:proofErr w:type="gramEnd"/>
      <w:r w:rsidRPr="00ED3CEB">
        <w:rPr>
          <w:sz w:val="20"/>
          <w:szCs w:val="20"/>
        </w:rPr>
        <w:t xml:space="preserve"> and the Antimicrobial Stewardship Committee meetings </w:t>
      </w:r>
    </w:p>
    <w:p w14:paraId="7C7FB89A" w14:textId="77777777" w:rsidR="00DE6E70" w:rsidRPr="00ED3CEB" w:rsidRDefault="00DE6E70" w:rsidP="00CE0762">
      <w:pPr>
        <w:pStyle w:val="ListParagraph"/>
        <w:numPr>
          <w:ilvl w:val="0"/>
          <w:numId w:val="44"/>
        </w:numPr>
        <w:spacing w:before="0" w:after="200" w:line="276" w:lineRule="auto"/>
        <w:ind w:left="0"/>
        <w:rPr>
          <w:sz w:val="20"/>
          <w:szCs w:val="20"/>
        </w:rPr>
      </w:pPr>
      <w:r w:rsidRPr="00ED3CEB">
        <w:rPr>
          <w:sz w:val="20"/>
          <w:szCs w:val="20"/>
        </w:rPr>
        <w:t xml:space="preserve">Supporting antimicrobial stewardship initiatives </w:t>
      </w:r>
    </w:p>
    <w:p w14:paraId="4AD9F1D8" w14:textId="77777777" w:rsidR="00DE6E70" w:rsidRPr="00ED3CEB" w:rsidRDefault="00DE6E70" w:rsidP="00CE0762">
      <w:pPr>
        <w:pStyle w:val="ListParagraph"/>
        <w:numPr>
          <w:ilvl w:val="0"/>
          <w:numId w:val="44"/>
        </w:numPr>
        <w:spacing w:before="0" w:after="200" w:line="276" w:lineRule="auto"/>
        <w:ind w:left="0"/>
        <w:rPr>
          <w:sz w:val="20"/>
          <w:szCs w:val="20"/>
        </w:rPr>
      </w:pPr>
      <w:r w:rsidRPr="00ED3CEB">
        <w:rPr>
          <w:sz w:val="20"/>
          <w:szCs w:val="20"/>
        </w:rPr>
        <w:t xml:space="preserve">Participating in and contributing to the </w:t>
      </w:r>
      <w:r w:rsidR="0062136A" w:rsidRPr="00ED3CEB">
        <w:rPr>
          <w:sz w:val="20"/>
          <w:szCs w:val="20"/>
        </w:rPr>
        <w:t xml:space="preserve">weekly </w:t>
      </w:r>
      <w:r w:rsidRPr="00ED3CEB">
        <w:rPr>
          <w:sz w:val="20"/>
          <w:szCs w:val="20"/>
        </w:rPr>
        <w:t>ward rounds with the ICD</w:t>
      </w:r>
      <w:r w:rsidR="008312DA" w:rsidRPr="00ED3CEB">
        <w:rPr>
          <w:sz w:val="20"/>
          <w:szCs w:val="20"/>
        </w:rPr>
        <w:t xml:space="preserve"> and IPC nurse specialist</w:t>
      </w:r>
    </w:p>
    <w:p w14:paraId="261FB5B9" w14:textId="77777777" w:rsidR="0062136A" w:rsidRPr="00ED3CEB" w:rsidRDefault="0062136A" w:rsidP="00CE0762">
      <w:pPr>
        <w:pStyle w:val="ListParagraph"/>
        <w:numPr>
          <w:ilvl w:val="0"/>
          <w:numId w:val="44"/>
        </w:numPr>
        <w:spacing w:before="0" w:after="200" w:line="276" w:lineRule="auto"/>
        <w:ind w:left="0"/>
        <w:rPr>
          <w:sz w:val="20"/>
          <w:szCs w:val="20"/>
        </w:rPr>
      </w:pPr>
      <w:r w:rsidRPr="00ED3CEB">
        <w:rPr>
          <w:sz w:val="20"/>
          <w:szCs w:val="20"/>
        </w:rPr>
        <w:t>Lead for the Trust antimicrobial CQUINs</w:t>
      </w:r>
    </w:p>
    <w:p w14:paraId="298B5446" w14:textId="77777777" w:rsidR="009477C1" w:rsidRPr="00ED3CEB" w:rsidRDefault="00907ABA" w:rsidP="00CE0762">
      <w:pPr>
        <w:pStyle w:val="ListParagraph"/>
        <w:numPr>
          <w:ilvl w:val="0"/>
          <w:numId w:val="44"/>
        </w:numPr>
        <w:spacing w:before="0" w:after="200" w:line="276" w:lineRule="auto"/>
        <w:ind w:left="0"/>
        <w:rPr>
          <w:sz w:val="20"/>
          <w:szCs w:val="20"/>
        </w:rPr>
      </w:pPr>
      <w:r w:rsidRPr="00ED3CEB">
        <w:rPr>
          <w:sz w:val="20"/>
          <w:szCs w:val="20"/>
        </w:rPr>
        <w:t xml:space="preserve">Maintaining a robust programme </w:t>
      </w:r>
      <w:r w:rsidR="0062136A" w:rsidRPr="00ED3CEB">
        <w:rPr>
          <w:sz w:val="20"/>
          <w:szCs w:val="20"/>
        </w:rPr>
        <w:t xml:space="preserve">of </w:t>
      </w:r>
      <w:r w:rsidR="00DE6E70" w:rsidRPr="00ED3CEB">
        <w:rPr>
          <w:sz w:val="20"/>
          <w:szCs w:val="20"/>
        </w:rPr>
        <w:t>audits in line with national guidance</w:t>
      </w:r>
    </w:p>
    <w:p w14:paraId="612CC1A4" w14:textId="1DB5AB27" w:rsidR="00DE6E70" w:rsidRDefault="00DE6E70" w:rsidP="00CE0762">
      <w:pPr>
        <w:pStyle w:val="ListParagraph"/>
        <w:numPr>
          <w:ilvl w:val="0"/>
          <w:numId w:val="44"/>
        </w:numPr>
        <w:spacing w:before="0" w:after="200" w:line="276" w:lineRule="auto"/>
        <w:ind w:left="0"/>
        <w:rPr>
          <w:sz w:val="20"/>
          <w:szCs w:val="20"/>
        </w:rPr>
      </w:pPr>
      <w:r w:rsidRPr="00ED3CEB">
        <w:rPr>
          <w:sz w:val="20"/>
          <w:szCs w:val="20"/>
        </w:rPr>
        <w:t xml:space="preserve">Providing training </w:t>
      </w:r>
      <w:r w:rsidR="0062136A" w:rsidRPr="00ED3CEB">
        <w:rPr>
          <w:sz w:val="20"/>
          <w:szCs w:val="20"/>
        </w:rPr>
        <w:t xml:space="preserve">and education </w:t>
      </w:r>
      <w:r w:rsidRPr="00ED3CEB">
        <w:rPr>
          <w:sz w:val="20"/>
          <w:szCs w:val="20"/>
        </w:rPr>
        <w:t>regarding antimicrobial stewardship to clinical staff within the Trust</w:t>
      </w:r>
    </w:p>
    <w:p w14:paraId="080215A0" w14:textId="77777777" w:rsidR="00CE217E" w:rsidRDefault="00CE217E" w:rsidP="00875C82">
      <w:pPr>
        <w:pStyle w:val="ListParagraph"/>
        <w:spacing w:before="0" w:after="200" w:line="276" w:lineRule="auto"/>
        <w:ind w:left="-709"/>
        <w:rPr>
          <w:sz w:val="20"/>
          <w:szCs w:val="20"/>
        </w:rPr>
      </w:pPr>
    </w:p>
    <w:p w14:paraId="0D0DA3F9" w14:textId="570FBA76" w:rsidR="00DE6E70" w:rsidRPr="00524888" w:rsidRDefault="00DE6E70" w:rsidP="00875C82">
      <w:pPr>
        <w:ind w:left="-709"/>
        <w:rPr>
          <w:rFonts w:cs="Arial"/>
          <w:b/>
          <w:sz w:val="22"/>
        </w:rPr>
      </w:pPr>
      <w:r w:rsidRPr="00524888">
        <w:rPr>
          <w:rFonts w:cs="Arial"/>
          <w:b/>
          <w:sz w:val="22"/>
        </w:rPr>
        <w:t xml:space="preserve">Infection </w:t>
      </w:r>
      <w:r w:rsidR="00740075" w:rsidRPr="00524888">
        <w:rPr>
          <w:rFonts w:cs="Arial"/>
          <w:b/>
          <w:sz w:val="22"/>
        </w:rPr>
        <w:t xml:space="preserve">Prevention </w:t>
      </w:r>
      <w:r w:rsidRPr="00524888">
        <w:rPr>
          <w:rFonts w:cs="Arial"/>
          <w:b/>
          <w:sz w:val="22"/>
        </w:rPr>
        <w:t>Control</w:t>
      </w:r>
      <w:r w:rsidR="00AC3C10">
        <w:rPr>
          <w:rFonts w:cs="Arial"/>
          <w:b/>
          <w:sz w:val="22"/>
        </w:rPr>
        <w:t xml:space="preserve"> &amp; Cleanliness</w:t>
      </w:r>
      <w:r w:rsidRPr="00524888">
        <w:rPr>
          <w:rFonts w:cs="Arial"/>
          <w:b/>
          <w:sz w:val="22"/>
        </w:rPr>
        <w:t xml:space="preserve"> Committee</w:t>
      </w:r>
    </w:p>
    <w:p w14:paraId="705B2E52" w14:textId="518D3438" w:rsidR="00A96E58" w:rsidRPr="004C140E" w:rsidRDefault="00DE6E70" w:rsidP="00875C82">
      <w:pPr>
        <w:ind w:left="-709"/>
        <w:rPr>
          <w:rFonts w:cs="Arial"/>
          <w:sz w:val="20"/>
          <w:szCs w:val="20"/>
        </w:rPr>
      </w:pPr>
      <w:r w:rsidRPr="00524888">
        <w:rPr>
          <w:rFonts w:cs="Arial"/>
          <w:sz w:val="20"/>
          <w:szCs w:val="20"/>
        </w:rPr>
        <w:t>The RJAH Infection</w:t>
      </w:r>
      <w:r w:rsidR="00740075" w:rsidRPr="00524888">
        <w:rPr>
          <w:rFonts w:cs="Arial"/>
          <w:sz w:val="20"/>
          <w:szCs w:val="20"/>
        </w:rPr>
        <w:t xml:space="preserve"> Prevention &amp;</w:t>
      </w:r>
      <w:r w:rsidRPr="00524888">
        <w:rPr>
          <w:rFonts w:cs="Arial"/>
          <w:sz w:val="20"/>
          <w:szCs w:val="20"/>
        </w:rPr>
        <w:t xml:space="preserve"> Control Committee (I</w:t>
      </w:r>
      <w:r w:rsidR="00740075" w:rsidRPr="00524888">
        <w:rPr>
          <w:rFonts w:cs="Arial"/>
          <w:sz w:val="20"/>
          <w:szCs w:val="20"/>
        </w:rPr>
        <w:t>P</w:t>
      </w:r>
      <w:r w:rsidRPr="00524888">
        <w:rPr>
          <w:rFonts w:cs="Arial"/>
          <w:sz w:val="20"/>
          <w:szCs w:val="20"/>
        </w:rPr>
        <w:t>C</w:t>
      </w:r>
      <w:r w:rsidR="00CE5567" w:rsidRPr="00524888">
        <w:rPr>
          <w:rFonts w:cs="Arial"/>
          <w:sz w:val="20"/>
          <w:szCs w:val="20"/>
        </w:rPr>
        <w:t>&amp;</w:t>
      </w:r>
      <w:r w:rsidR="00AC3C10">
        <w:rPr>
          <w:rFonts w:cs="Arial"/>
          <w:sz w:val="20"/>
          <w:szCs w:val="20"/>
        </w:rPr>
        <w:t>C</w:t>
      </w:r>
      <w:r w:rsidRPr="00524888">
        <w:rPr>
          <w:rFonts w:cs="Arial"/>
          <w:sz w:val="20"/>
          <w:szCs w:val="20"/>
        </w:rPr>
        <w:t xml:space="preserve">C) is a multidisciplinary Trust </w:t>
      </w:r>
      <w:r w:rsidR="00997F10">
        <w:rPr>
          <w:rFonts w:cs="Arial"/>
          <w:sz w:val="20"/>
          <w:szCs w:val="20"/>
        </w:rPr>
        <w:t>C</w:t>
      </w:r>
      <w:r w:rsidRPr="00524888">
        <w:rPr>
          <w:rFonts w:cs="Arial"/>
          <w:sz w:val="20"/>
          <w:szCs w:val="20"/>
        </w:rPr>
        <w:t xml:space="preserve">ommittee with </w:t>
      </w:r>
      <w:r w:rsidR="00997F10">
        <w:rPr>
          <w:rFonts w:cs="Arial"/>
          <w:sz w:val="20"/>
          <w:szCs w:val="20"/>
        </w:rPr>
        <w:t>stakeholder</w:t>
      </w:r>
      <w:r w:rsidR="00997F10" w:rsidRPr="00524888">
        <w:rPr>
          <w:rFonts w:cs="Arial"/>
          <w:sz w:val="20"/>
          <w:szCs w:val="20"/>
        </w:rPr>
        <w:t xml:space="preserve"> </w:t>
      </w:r>
      <w:r w:rsidRPr="00524888">
        <w:rPr>
          <w:rFonts w:cs="Arial"/>
          <w:sz w:val="20"/>
          <w:szCs w:val="20"/>
        </w:rPr>
        <w:t xml:space="preserve">representation from </w:t>
      </w:r>
      <w:r w:rsidR="00197316" w:rsidRPr="00524888">
        <w:rPr>
          <w:rFonts w:cs="Arial"/>
          <w:sz w:val="20"/>
          <w:szCs w:val="20"/>
        </w:rPr>
        <w:t xml:space="preserve">UKHSA </w:t>
      </w:r>
      <w:r w:rsidRPr="00524888">
        <w:rPr>
          <w:rFonts w:cs="Arial"/>
          <w:sz w:val="20"/>
          <w:szCs w:val="20"/>
        </w:rPr>
        <w:t xml:space="preserve">and the </w:t>
      </w:r>
      <w:r w:rsidR="00B41A62">
        <w:rPr>
          <w:rFonts w:cs="Arial"/>
          <w:sz w:val="20"/>
          <w:szCs w:val="20"/>
        </w:rPr>
        <w:t>ICB</w:t>
      </w:r>
      <w:r w:rsidRPr="00524888">
        <w:rPr>
          <w:rFonts w:cs="Arial"/>
          <w:sz w:val="20"/>
          <w:szCs w:val="20"/>
        </w:rPr>
        <w:t>. The I</w:t>
      </w:r>
      <w:r w:rsidR="00E8755F" w:rsidRPr="00524888">
        <w:rPr>
          <w:rFonts w:cs="Arial"/>
          <w:sz w:val="20"/>
          <w:szCs w:val="20"/>
        </w:rPr>
        <w:t>P</w:t>
      </w:r>
      <w:r w:rsidRPr="00524888">
        <w:rPr>
          <w:rFonts w:cs="Arial"/>
          <w:sz w:val="20"/>
          <w:szCs w:val="20"/>
        </w:rPr>
        <w:t>C</w:t>
      </w:r>
      <w:r w:rsidR="00CE217E">
        <w:rPr>
          <w:rFonts w:cs="Arial"/>
          <w:sz w:val="20"/>
          <w:szCs w:val="20"/>
        </w:rPr>
        <w:t>&amp;</w:t>
      </w:r>
      <w:r w:rsidRPr="00524888">
        <w:rPr>
          <w:rFonts w:cs="Arial"/>
          <w:sz w:val="20"/>
          <w:szCs w:val="20"/>
        </w:rPr>
        <w:t>C</w:t>
      </w:r>
      <w:r w:rsidR="00CE217E">
        <w:rPr>
          <w:rFonts w:cs="Arial"/>
          <w:sz w:val="20"/>
          <w:szCs w:val="20"/>
        </w:rPr>
        <w:t>C</w:t>
      </w:r>
      <w:r w:rsidRPr="00524888">
        <w:rPr>
          <w:rFonts w:cs="Arial"/>
          <w:sz w:val="20"/>
          <w:szCs w:val="20"/>
        </w:rPr>
        <w:t xml:space="preserve"> oversees the activity of the IPCT and </w:t>
      </w:r>
      <w:r w:rsidR="00997F10" w:rsidRPr="00524888">
        <w:rPr>
          <w:rFonts w:cs="Arial"/>
          <w:sz w:val="20"/>
          <w:szCs w:val="20"/>
        </w:rPr>
        <w:t>observes</w:t>
      </w:r>
      <w:r w:rsidRPr="00524888">
        <w:rPr>
          <w:rFonts w:cs="Arial"/>
          <w:sz w:val="20"/>
          <w:szCs w:val="20"/>
        </w:rPr>
        <w:t xml:space="preserve"> the implementation of the infection control programme of work</w:t>
      </w:r>
      <w:r w:rsidR="00EB32FC" w:rsidRPr="00524888">
        <w:rPr>
          <w:rFonts w:cs="Arial"/>
          <w:sz w:val="20"/>
          <w:szCs w:val="20"/>
        </w:rPr>
        <w:t xml:space="preserve">.  </w:t>
      </w:r>
      <w:r w:rsidR="00787EC3" w:rsidRPr="00524888">
        <w:rPr>
          <w:rFonts w:cs="Arial"/>
          <w:sz w:val="20"/>
          <w:szCs w:val="20"/>
        </w:rPr>
        <w:t xml:space="preserve">In February 2022 </w:t>
      </w:r>
      <w:r w:rsidR="00EB32FC" w:rsidRPr="00524888">
        <w:rPr>
          <w:rFonts w:cs="Arial"/>
          <w:sz w:val="20"/>
          <w:szCs w:val="20"/>
        </w:rPr>
        <w:t>IPC</w:t>
      </w:r>
      <w:r w:rsidR="00CE217E">
        <w:rPr>
          <w:rFonts w:cs="Arial"/>
          <w:sz w:val="20"/>
          <w:szCs w:val="20"/>
        </w:rPr>
        <w:t>&amp;</w:t>
      </w:r>
      <w:r w:rsidR="00EB32FC" w:rsidRPr="00524888">
        <w:rPr>
          <w:rFonts w:cs="Arial"/>
          <w:sz w:val="20"/>
          <w:szCs w:val="20"/>
        </w:rPr>
        <w:t>C</w:t>
      </w:r>
      <w:r w:rsidR="00CE217E">
        <w:rPr>
          <w:rFonts w:cs="Arial"/>
          <w:sz w:val="20"/>
          <w:szCs w:val="20"/>
        </w:rPr>
        <w:t>C</w:t>
      </w:r>
      <w:r w:rsidR="00EB32FC" w:rsidRPr="00524888">
        <w:rPr>
          <w:rFonts w:cs="Arial"/>
          <w:sz w:val="20"/>
          <w:szCs w:val="20"/>
        </w:rPr>
        <w:t xml:space="preserve"> meetings were increased to</w:t>
      </w:r>
      <w:r w:rsidR="00787EC3" w:rsidRPr="00524888">
        <w:rPr>
          <w:rFonts w:cs="Arial"/>
          <w:sz w:val="20"/>
          <w:szCs w:val="20"/>
        </w:rPr>
        <w:t xml:space="preserve"> monthly for additional assurance and</w:t>
      </w:r>
      <w:r w:rsidR="002F2B0F" w:rsidRPr="00524888">
        <w:rPr>
          <w:rFonts w:cs="Arial"/>
          <w:sz w:val="20"/>
          <w:szCs w:val="20"/>
        </w:rPr>
        <w:t xml:space="preserve"> increase</w:t>
      </w:r>
      <w:r w:rsidR="00C8546D" w:rsidRPr="00524888">
        <w:rPr>
          <w:rFonts w:cs="Arial"/>
          <w:sz w:val="20"/>
          <w:szCs w:val="20"/>
        </w:rPr>
        <w:t>d</w:t>
      </w:r>
      <w:r w:rsidR="00CE5567" w:rsidRPr="00524888">
        <w:rPr>
          <w:rFonts w:cs="Arial"/>
          <w:sz w:val="20"/>
          <w:szCs w:val="20"/>
        </w:rPr>
        <w:t xml:space="preserve"> oversite</w:t>
      </w:r>
      <w:r w:rsidR="002F2B0F" w:rsidRPr="00524888">
        <w:rPr>
          <w:rFonts w:cs="Arial"/>
          <w:sz w:val="20"/>
          <w:szCs w:val="20"/>
        </w:rPr>
        <w:t xml:space="preserve"> at </w:t>
      </w:r>
      <w:r w:rsidR="00997F10">
        <w:rPr>
          <w:rFonts w:cs="Arial"/>
          <w:sz w:val="20"/>
          <w:szCs w:val="20"/>
        </w:rPr>
        <w:t>B</w:t>
      </w:r>
      <w:r w:rsidR="00CE5567" w:rsidRPr="00524888">
        <w:rPr>
          <w:rFonts w:cs="Arial"/>
          <w:sz w:val="20"/>
          <w:szCs w:val="20"/>
        </w:rPr>
        <w:t>oard level</w:t>
      </w:r>
      <w:r w:rsidR="00787EC3" w:rsidRPr="00524888">
        <w:rPr>
          <w:rFonts w:cs="Arial"/>
          <w:sz w:val="20"/>
          <w:szCs w:val="20"/>
        </w:rPr>
        <w:t>.</w:t>
      </w:r>
      <w:r w:rsidR="00787EC3">
        <w:rPr>
          <w:rFonts w:cs="Arial"/>
          <w:sz w:val="20"/>
          <w:szCs w:val="20"/>
        </w:rPr>
        <w:t xml:space="preserve"> </w:t>
      </w:r>
    </w:p>
    <w:p w14:paraId="3A943146" w14:textId="77777777" w:rsidR="0058054A" w:rsidRDefault="0058054A" w:rsidP="00875C82">
      <w:pPr>
        <w:ind w:left="-709"/>
        <w:rPr>
          <w:rFonts w:cs="Arial"/>
          <w:b/>
          <w:sz w:val="22"/>
        </w:rPr>
      </w:pPr>
    </w:p>
    <w:p w14:paraId="512BC67A" w14:textId="432E90DA" w:rsidR="003B3B6B" w:rsidRPr="00DA3ADD" w:rsidRDefault="003B3B6B" w:rsidP="00875C82">
      <w:pPr>
        <w:ind w:left="-709"/>
        <w:rPr>
          <w:rFonts w:cs="Arial"/>
          <w:b/>
          <w:sz w:val="22"/>
        </w:rPr>
      </w:pPr>
      <w:r w:rsidRPr="00DA3ADD">
        <w:rPr>
          <w:rFonts w:cs="Arial"/>
          <w:b/>
          <w:sz w:val="22"/>
        </w:rPr>
        <w:t>The IPC Programme of Work</w:t>
      </w:r>
    </w:p>
    <w:p w14:paraId="3CC3D6D4" w14:textId="2D57E7AD" w:rsidR="00B44E69" w:rsidRPr="00DA3ADD" w:rsidRDefault="00E722AE" w:rsidP="00875C82">
      <w:pPr>
        <w:ind w:left="-709"/>
        <w:rPr>
          <w:rFonts w:cs="Arial"/>
          <w:sz w:val="20"/>
          <w:szCs w:val="20"/>
        </w:rPr>
      </w:pPr>
      <w:r w:rsidRPr="00DA3ADD">
        <w:rPr>
          <w:rFonts w:cs="Arial"/>
          <w:sz w:val="20"/>
          <w:szCs w:val="20"/>
        </w:rPr>
        <w:t xml:space="preserve">The IPC </w:t>
      </w:r>
      <w:r w:rsidR="00B41A62">
        <w:rPr>
          <w:rFonts w:cs="Arial"/>
          <w:sz w:val="20"/>
          <w:szCs w:val="20"/>
        </w:rPr>
        <w:t>P</w:t>
      </w:r>
      <w:r w:rsidRPr="00DA3ADD">
        <w:rPr>
          <w:rFonts w:cs="Arial"/>
          <w:sz w:val="20"/>
          <w:szCs w:val="20"/>
        </w:rPr>
        <w:t xml:space="preserve">rogramme of </w:t>
      </w:r>
      <w:r w:rsidR="00B41A62">
        <w:rPr>
          <w:rFonts w:cs="Arial"/>
          <w:sz w:val="20"/>
          <w:szCs w:val="20"/>
        </w:rPr>
        <w:t>W</w:t>
      </w:r>
      <w:r w:rsidRPr="00DA3ADD">
        <w:rPr>
          <w:rFonts w:cs="Arial"/>
          <w:sz w:val="20"/>
          <w:szCs w:val="20"/>
        </w:rPr>
        <w:t xml:space="preserve">ork </w:t>
      </w:r>
      <w:r w:rsidR="00C67BF2" w:rsidRPr="00DA3ADD">
        <w:rPr>
          <w:rFonts w:cs="Arial"/>
          <w:sz w:val="20"/>
          <w:szCs w:val="20"/>
        </w:rPr>
        <w:t>20</w:t>
      </w:r>
      <w:r w:rsidR="00983C06" w:rsidRPr="00DA3ADD">
        <w:rPr>
          <w:rFonts w:cs="Arial"/>
          <w:sz w:val="20"/>
          <w:szCs w:val="20"/>
        </w:rPr>
        <w:t>2</w:t>
      </w:r>
      <w:r w:rsidR="00787EC3" w:rsidRPr="00DA3ADD">
        <w:rPr>
          <w:rFonts w:cs="Arial"/>
          <w:sz w:val="20"/>
          <w:szCs w:val="20"/>
        </w:rPr>
        <w:t>2</w:t>
      </w:r>
      <w:r w:rsidR="00C67BF2" w:rsidRPr="00DA3ADD">
        <w:rPr>
          <w:rFonts w:cs="Arial"/>
          <w:sz w:val="20"/>
          <w:szCs w:val="20"/>
        </w:rPr>
        <w:t>-2</w:t>
      </w:r>
      <w:r w:rsidR="00787EC3" w:rsidRPr="00DA3ADD">
        <w:rPr>
          <w:rFonts w:cs="Arial"/>
          <w:sz w:val="20"/>
          <w:szCs w:val="20"/>
        </w:rPr>
        <w:t>3</w:t>
      </w:r>
      <w:r w:rsidR="00983C06" w:rsidRPr="00DA3ADD">
        <w:rPr>
          <w:rFonts w:cs="Arial"/>
          <w:sz w:val="20"/>
          <w:szCs w:val="20"/>
        </w:rPr>
        <w:t xml:space="preserve"> </w:t>
      </w:r>
      <w:r w:rsidR="003274ED" w:rsidRPr="00DA3ADD">
        <w:rPr>
          <w:rFonts w:cs="Arial"/>
          <w:sz w:val="20"/>
          <w:szCs w:val="20"/>
        </w:rPr>
        <w:t xml:space="preserve">was </w:t>
      </w:r>
      <w:r w:rsidRPr="00DA3ADD">
        <w:rPr>
          <w:rFonts w:cs="Arial"/>
          <w:sz w:val="20"/>
          <w:szCs w:val="20"/>
        </w:rPr>
        <w:t xml:space="preserve">specifically designed to focus on achieving full compliance with the standards identified in the </w:t>
      </w:r>
      <w:r w:rsidR="00AD443F">
        <w:rPr>
          <w:rFonts w:cs="Arial"/>
          <w:sz w:val="20"/>
          <w:szCs w:val="20"/>
        </w:rPr>
        <w:t>Health and Social Care Act</w:t>
      </w:r>
      <w:r w:rsidR="00FF53C2" w:rsidRPr="00DA3ADD">
        <w:rPr>
          <w:rFonts w:cs="Arial"/>
          <w:sz w:val="20"/>
          <w:szCs w:val="20"/>
        </w:rPr>
        <w:t xml:space="preserve">, and </w:t>
      </w:r>
      <w:r w:rsidR="00173602">
        <w:rPr>
          <w:rFonts w:cs="Arial"/>
          <w:sz w:val="20"/>
          <w:szCs w:val="20"/>
        </w:rPr>
        <w:t>to monitor compliance with</w:t>
      </w:r>
      <w:r w:rsidR="00FF53C2" w:rsidRPr="00DA3ADD">
        <w:rPr>
          <w:rFonts w:cs="Arial"/>
          <w:sz w:val="20"/>
          <w:szCs w:val="20"/>
        </w:rPr>
        <w:t xml:space="preserve"> n</w:t>
      </w:r>
      <w:r w:rsidRPr="00DA3ADD">
        <w:rPr>
          <w:rFonts w:cs="Arial"/>
          <w:sz w:val="20"/>
          <w:szCs w:val="20"/>
        </w:rPr>
        <w:t>ational and local infection related t</w:t>
      </w:r>
      <w:r w:rsidR="006F018B">
        <w:rPr>
          <w:rFonts w:cs="Arial"/>
          <w:sz w:val="20"/>
          <w:szCs w:val="20"/>
        </w:rPr>
        <w:t>hresholds</w:t>
      </w:r>
      <w:r w:rsidR="00323F4B" w:rsidRPr="00DA3ADD">
        <w:rPr>
          <w:rFonts w:cs="Arial"/>
          <w:sz w:val="20"/>
          <w:szCs w:val="20"/>
        </w:rPr>
        <w:t xml:space="preserve">. </w:t>
      </w:r>
      <w:r w:rsidR="00787EC3" w:rsidRPr="00DA3ADD">
        <w:rPr>
          <w:rFonts w:cs="Arial"/>
          <w:sz w:val="20"/>
          <w:szCs w:val="20"/>
        </w:rPr>
        <w:t>To ensure good momentum with improvements, the team opted to adopt an annual p</w:t>
      </w:r>
      <w:r w:rsidR="00CE217E">
        <w:rPr>
          <w:rFonts w:cs="Arial"/>
          <w:sz w:val="20"/>
          <w:szCs w:val="20"/>
        </w:rPr>
        <w:t>rogramme</w:t>
      </w:r>
      <w:r w:rsidR="00787EC3" w:rsidRPr="00DA3ADD">
        <w:rPr>
          <w:rFonts w:cs="Arial"/>
          <w:sz w:val="20"/>
          <w:szCs w:val="20"/>
        </w:rPr>
        <w:t xml:space="preserve"> </w:t>
      </w:r>
      <w:proofErr w:type="gramStart"/>
      <w:r w:rsidR="00CE217E">
        <w:rPr>
          <w:rFonts w:cs="Arial"/>
          <w:sz w:val="20"/>
          <w:szCs w:val="20"/>
        </w:rPr>
        <w:t>i</w:t>
      </w:r>
      <w:r w:rsidR="00787EC3" w:rsidRPr="00DA3ADD">
        <w:rPr>
          <w:rFonts w:cs="Arial"/>
          <w:sz w:val="20"/>
          <w:szCs w:val="20"/>
        </w:rPr>
        <w:t>n order to</w:t>
      </w:r>
      <w:proofErr w:type="gramEnd"/>
      <w:r w:rsidR="00787EC3" w:rsidRPr="00DA3ADD">
        <w:rPr>
          <w:rFonts w:cs="Arial"/>
          <w:sz w:val="20"/>
          <w:szCs w:val="20"/>
        </w:rPr>
        <w:t xml:space="preserve"> meet deadlines assigned to works sited on the IPC Quality Improvement plan.</w:t>
      </w:r>
    </w:p>
    <w:p w14:paraId="303CBE9F" w14:textId="2569B540" w:rsidR="00AE0E93" w:rsidRPr="00DA3ADD" w:rsidRDefault="00AE0E93" w:rsidP="00875C82">
      <w:pPr>
        <w:ind w:left="-709"/>
        <w:rPr>
          <w:rFonts w:cs="Arial"/>
          <w:sz w:val="20"/>
          <w:szCs w:val="20"/>
        </w:rPr>
      </w:pPr>
    </w:p>
    <w:p w14:paraId="635B29C5" w14:textId="664B9012" w:rsidR="00AE0E93" w:rsidRDefault="00AE0E93" w:rsidP="00875C82">
      <w:pPr>
        <w:ind w:left="-709"/>
        <w:rPr>
          <w:rFonts w:cs="Arial"/>
          <w:b/>
          <w:bCs/>
          <w:sz w:val="22"/>
        </w:rPr>
      </w:pPr>
      <w:r w:rsidRPr="00DA3ADD">
        <w:rPr>
          <w:rFonts w:cs="Arial"/>
          <w:b/>
          <w:bCs/>
          <w:sz w:val="22"/>
        </w:rPr>
        <w:t>Quality Management System</w:t>
      </w:r>
    </w:p>
    <w:p w14:paraId="716E5DFA" w14:textId="79396D8F" w:rsidR="00AE0E93" w:rsidRPr="00380FB6" w:rsidRDefault="00D937B0" w:rsidP="00875C82">
      <w:pPr>
        <w:ind w:left="-709"/>
        <w:rPr>
          <w:rFonts w:cs="Arial"/>
          <w:sz w:val="20"/>
          <w:szCs w:val="20"/>
        </w:rPr>
      </w:pPr>
      <w:r w:rsidRPr="00D937B0">
        <w:rPr>
          <w:rFonts w:cs="Arial"/>
          <w:sz w:val="20"/>
          <w:szCs w:val="20"/>
        </w:rPr>
        <w:t>We have designed a system to capture all data in relation to IPC.</w:t>
      </w:r>
      <w:r w:rsidR="00380FB6">
        <w:rPr>
          <w:rFonts w:cs="Arial"/>
          <w:sz w:val="20"/>
          <w:szCs w:val="20"/>
        </w:rPr>
        <w:t xml:space="preserve">  </w:t>
      </w:r>
      <w:r w:rsidR="00AE0E93" w:rsidRPr="00DA3ADD">
        <w:rPr>
          <w:sz w:val="20"/>
          <w:szCs w:val="20"/>
        </w:rPr>
        <w:t xml:space="preserve">The system </w:t>
      </w:r>
      <w:r w:rsidR="00B406A9" w:rsidRPr="00DA3ADD">
        <w:rPr>
          <w:sz w:val="20"/>
          <w:szCs w:val="20"/>
        </w:rPr>
        <w:t>contains a data</w:t>
      </w:r>
      <w:r w:rsidR="005456F3" w:rsidRPr="00DA3ADD">
        <w:rPr>
          <w:sz w:val="20"/>
          <w:szCs w:val="20"/>
        </w:rPr>
        <w:t xml:space="preserve"> </w:t>
      </w:r>
      <w:r w:rsidR="00B406A9" w:rsidRPr="00DA3ADD">
        <w:rPr>
          <w:sz w:val="20"/>
          <w:szCs w:val="20"/>
        </w:rPr>
        <w:t xml:space="preserve">warehouse that </w:t>
      </w:r>
      <w:r w:rsidR="00AE0E93" w:rsidRPr="00DA3ADD">
        <w:rPr>
          <w:sz w:val="20"/>
          <w:szCs w:val="20"/>
        </w:rPr>
        <w:t>consolidate</w:t>
      </w:r>
      <w:r w:rsidR="00B406A9" w:rsidRPr="00DA3ADD">
        <w:rPr>
          <w:sz w:val="20"/>
          <w:szCs w:val="20"/>
        </w:rPr>
        <w:t>s</w:t>
      </w:r>
      <w:r w:rsidR="00AE0E93" w:rsidRPr="00DA3ADD">
        <w:rPr>
          <w:sz w:val="20"/>
          <w:szCs w:val="20"/>
        </w:rPr>
        <w:t xml:space="preserve"> all IPC related data and a central space for correlation of themes and trends. The system contains a dashboard providing a live position for IPC governance. </w:t>
      </w:r>
    </w:p>
    <w:p w14:paraId="321829EC" w14:textId="4F43A859" w:rsidR="00AE0E93" w:rsidRPr="00DA3ADD" w:rsidRDefault="00AE0E93" w:rsidP="00875C82">
      <w:pPr>
        <w:ind w:left="-709"/>
        <w:rPr>
          <w:sz w:val="20"/>
          <w:szCs w:val="20"/>
        </w:rPr>
      </w:pPr>
      <w:r w:rsidRPr="00DA3ADD">
        <w:rPr>
          <w:sz w:val="20"/>
          <w:szCs w:val="20"/>
        </w:rPr>
        <w:t xml:space="preserve">The system has been since </w:t>
      </w:r>
      <w:r w:rsidR="00B406A9" w:rsidRPr="00DA3ADD">
        <w:rPr>
          <w:sz w:val="20"/>
          <w:szCs w:val="20"/>
        </w:rPr>
        <w:t xml:space="preserve">evolved </w:t>
      </w:r>
      <w:r w:rsidRPr="00DA3ADD">
        <w:rPr>
          <w:sz w:val="20"/>
          <w:szCs w:val="20"/>
        </w:rPr>
        <w:t xml:space="preserve">to include: </w:t>
      </w:r>
    </w:p>
    <w:p w14:paraId="640CFE00" w14:textId="77777777" w:rsidR="00AE0E93" w:rsidRPr="00DA3ADD" w:rsidRDefault="00AE0E93" w:rsidP="00CE0762">
      <w:pPr>
        <w:ind w:left="-142"/>
        <w:rPr>
          <w:sz w:val="20"/>
          <w:szCs w:val="20"/>
        </w:rPr>
      </w:pPr>
    </w:p>
    <w:p w14:paraId="617939D6" w14:textId="77777777" w:rsidR="00AE0E93" w:rsidRPr="00DA3ADD" w:rsidRDefault="00AE0E93" w:rsidP="00CE0762">
      <w:pPr>
        <w:pStyle w:val="NoSpacing"/>
        <w:numPr>
          <w:ilvl w:val="0"/>
          <w:numId w:val="17"/>
        </w:numPr>
        <w:ind w:left="-142"/>
        <w:rPr>
          <w:rFonts w:ascii="Arial" w:hAnsi="Arial" w:cs="Arial"/>
          <w:sz w:val="20"/>
          <w:szCs w:val="20"/>
        </w:rPr>
      </w:pPr>
      <w:r w:rsidRPr="00DA3ADD">
        <w:rPr>
          <w:rFonts w:ascii="Arial" w:hAnsi="Arial" w:cs="Arial"/>
          <w:sz w:val="20"/>
          <w:szCs w:val="20"/>
        </w:rPr>
        <w:t>Policy matrix and review tracker</w:t>
      </w:r>
    </w:p>
    <w:p w14:paraId="02ACBFE8" w14:textId="2D1F234A" w:rsidR="00AE0E93" w:rsidRPr="00DA3ADD" w:rsidRDefault="00AE0E93" w:rsidP="00CE0762">
      <w:pPr>
        <w:pStyle w:val="NoSpacing"/>
        <w:numPr>
          <w:ilvl w:val="0"/>
          <w:numId w:val="17"/>
        </w:numPr>
        <w:ind w:left="-142"/>
        <w:rPr>
          <w:rFonts w:ascii="Arial" w:hAnsi="Arial" w:cs="Arial"/>
          <w:sz w:val="20"/>
          <w:szCs w:val="20"/>
        </w:rPr>
      </w:pPr>
      <w:r w:rsidRPr="00DA3ADD">
        <w:rPr>
          <w:rFonts w:ascii="Arial" w:hAnsi="Arial" w:cs="Arial"/>
          <w:sz w:val="20"/>
          <w:szCs w:val="20"/>
        </w:rPr>
        <w:t>IPC unit reports linked to the system for auto-population of data. Reports are presented at Infection Control &amp; Cleanliness Committee</w:t>
      </w:r>
    </w:p>
    <w:p w14:paraId="1E99AA0C" w14:textId="7D2DEE03" w:rsidR="00B406A9" w:rsidRPr="00DA3ADD" w:rsidRDefault="00B406A9" w:rsidP="00CE0762">
      <w:pPr>
        <w:pStyle w:val="NoSpacing"/>
        <w:numPr>
          <w:ilvl w:val="0"/>
          <w:numId w:val="17"/>
        </w:numPr>
        <w:ind w:left="-142"/>
        <w:rPr>
          <w:rFonts w:ascii="Arial" w:hAnsi="Arial" w:cs="Arial"/>
          <w:sz w:val="20"/>
          <w:szCs w:val="20"/>
        </w:rPr>
      </w:pPr>
      <w:r w:rsidRPr="00DA3ADD">
        <w:rPr>
          <w:rFonts w:ascii="Arial" w:hAnsi="Arial" w:cs="Arial"/>
          <w:sz w:val="20"/>
          <w:szCs w:val="20"/>
        </w:rPr>
        <w:t xml:space="preserve">Reports to monitor and track actions relating to IPC generated from all sources. </w:t>
      </w:r>
    </w:p>
    <w:p w14:paraId="2910892A" w14:textId="6258C71B" w:rsidR="00AE0E93" w:rsidRPr="00DA3ADD" w:rsidRDefault="00AE0E93" w:rsidP="00CE0762">
      <w:pPr>
        <w:pStyle w:val="ListParagraph"/>
        <w:numPr>
          <w:ilvl w:val="0"/>
          <w:numId w:val="17"/>
        </w:numPr>
        <w:autoSpaceDE w:val="0"/>
        <w:autoSpaceDN w:val="0"/>
        <w:adjustRightInd w:val="0"/>
        <w:spacing w:before="0"/>
        <w:ind w:left="-142"/>
        <w:rPr>
          <w:sz w:val="20"/>
          <w:szCs w:val="20"/>
        </w:rPr>
      </w:pPr>
      <w:r w:rsidRPr="00DA3ADD">
        <w:rPr>
          <w:sz w:val="20"/>
          <w:szCs w:val="20"/>
        </w:rPr>
        <w:t xml:space="preserve">Rolling audit plan to include all IPC Assurance audits </w:t>
      </w:r>
    </w:p>
    <w:p w14:paraId="7A6AD244" w14:textId="19A92C84" w:rsidR="00AE0E93" w:rsidRPr="00DA3ADD" w:rsidRDefault="00AE0E93" w:rsidP="00CE0762">
      <w:pPr>
        <w:pStyle w:val="ListParagraph"/>
        <w:numPr>
          <w:ilvl w:val="0"/>
          <w:numId w:val="17"/>
        </w:numPr>
        <w:autoSpaceDE w:val="0"/>
        <w:autoSpaceDN w:val="0"/>
        <w:adjustRightInd w:val="0"/>
        <w:spacing w:before="0"/>
        <w:ind w:left="-142"/>
        <w:rPr>
          <w:sz w:val="20"/>
          <w:szCs w:val="20"/>
        </w:rPr>
      </w:pPr>
      <w:r w:rsidRPr="00DA3ADD">
        <w:rPr>
          <w:sz w:val="20"/>
          <w:szCs w:val="20"/>
        </w:rPr>
        <w:t xml:space="preserve">Live reporting to surgical site infections </w:t>
      </w:r>
      <w:r w:rsidR="00B406A9" w:rsidRPr="00DA3ADD">
        <w:rPr>
          <w:sz w:val="20"/>
          <w:szCs w:val="20"/>
        </w:rPr>
        <w:t>and statistical process charts.</w:t>
      </w:r>
    </w:p>
    <w:p w14:paraId="616961EA" w14:textId="77777777" w:rsidR="00793988" w:rsidRDefault="00793988" w:rsidP="00875C82">
      <w:pPr>
        <w:ind w:left="-709"/>
        <w:rPr>
          <w:rFonts w:cs="Arial"/>
          <w:b/>
          <w:sz w:val="22"/>
          <w:szCs w:val="20"/>
        </w:rPr>
      </w:pPr>
    </w:p>
    <w:p w14:paraId="3A0019CE" w14:textId="0B792845" w:rsidR="000135CD" w:rsidRDefault="00806039" w:rsidP="00875C82">
      <w:pPr>
        <w:ind w:left="-709"/>
        <w:rPr>
          <w:rFonts w:cs="Arial"/>
          <w:b/>
          <w:sz w:val="22"/>
          <w:szCs w:val="20"/>
        </w:rPr>
      </w:pPr>
      <w:r w:rsidRPr="00DA3ADD">
        <w:rPr>
          <w:rFonts w:cs="Arial"/>
          <w:b/>
          <w:sz w:val="22"/>
          <w:szCs w:val="20"/>
        </w:rPr>
        <w:t>Infection Prevention and Control Working Group</w:t>
      </w:r>
    </w:p>
    <w:p w14:paraId="2B14CB20" w14:textId="77777777" w:rsidR="007B3067" w:rsidRDefault="007B3067" w:rsidP="00875C82">
      <w:pPr>
        <w:ind w:left="-709"/>
        <w:rPr>
          <w:rFonts w:cs="Arial"/>
          <w:b/>
          <w:sz w:val="22"/>
          <w:szCs w:val="20"/>
        </w:rPr>
      </w:pPr>
    </w:p>
    <w:p w14:paraId="4F0268D3" w14:textId="30EABE78" w:rsidR="000135CD" w:rsidRPr="000135CD" w:rsidRDefault="000135CD" w:rsidP="00875C82">
      <w:pPr>
        <w:spacing w:before="0"/>
        <w:ind w:left="-709"/>
        <w:rPr>
          <w:rFonts w:eastAsia="Times New Roman" w:cs="Arial"/>
          <w:sz w:val="20"/>
          <w:szCs w:val="20"/>
          <w:lang w:eastAsia="en-GB"/>
        </w:rPr>
      </w:pPr>
      <w:r w:rsidRPr="000135CD">
        <w:rPr>
          <w:rFonts w:eastAsia="Times New Roman" w:cs="Arial"/>
          <w:sz w:val="20"/>
          <w:szCs w:val="20"/>
          <w:lang w:eastAsia="en-GB"/>
        </w:rPr>
        <w:t xml:space="preserve">The Infection Prevention and Control, &amp; Cleanliness Working Group (IPC&amp;CWG) is group is to ensure that the Trust are fully engaged and proactive in delivering the IPC agenda aligned to the statutory requirements of The Health and Social Care Act 2008: Code of Practice on the prevention and control of infections (Revised December 2022) Care Quality Commission Standards and other national, </w:t>
      </w:r>
      <w:proofErr w:type="gramStart"/>
      <w:r w:rsidRPr="000135CD">
        <w:rPr>
          <w:rFonts w:eastAsia="Times New Roman" w:cs="Arial"/>
          <w:sz w:val="20"/>
          <w:szCs w:val="20"/>
          <w:lang w:eastAsia="en-GB"/>
        </w:rPr>
        <w:t>regional</w:t>
      </w:r>
      <w:proofErr w:type="gramEnd"/>
      <w:r w:rsidRPr="000135CD">
        <w:rPr>
          <w:rFonts w:eastAsia="Times New Roman" w:cs="Arial"/>
          <w:sz w:val="20"/>
          <w:szCs w:val="20"/>
          <w:lang w:eastAsia="en-GB"/>
        </w:rPr>
        <w:t xml:space="preserve"> or professional bodies.  This involves robust oversight of leadership and ownership of IPC&amp;C at a service and operational level. </w:t>
      </w:r>
    </w:p>
    <w:p w14:paraId="2A7C437D" w14:textId="77777777" w:rsidR="000135CD" w:rsidRPr="000135CD" w:rsidRDefault="000135CD" w:rsidP="00875C82">
      <w:pPr>
        <w:spacing w:before="0"/>
        <w:ind w:left="-709"/>
        <w:rPr>
          <w:rFonts w:eastAsia="Times New Roman" w:cs="Arial"/>
          <w:sz w:val="20"/>
          <w:szCs w:val="20"/>
          <w:lang w:eastAsia="en-GB"/>
        </w:rPr>
      </w:pPr>
    </w:p>
    <w:p w14:paraId="00F08CDD" w14:textId="7CFD971C" w:rsidR="000135CD" w:rsidRPr="000135CD" w:rsidRDefault="000135CD" w:rsidP="00875C82">
      <w:pPr>
        <w:spacing w:before="0"/>
        <w:ind w:left="-709"/>
        <w:rPr>
          <w:rFonts w:eastAsia="Times New Roman" w:cs="Arial"/>
          <w:sz w:val="20"/>
          <w:szCs w:val="20"/>
          <w:lang w:eastAsia="en-GB"/>
        </w:rPr>
      </w:pPr>
      <w:r w:rsidRPr="000135CD">
        <w:rPr>
          <w:rFonts w:eastAsia="Times New Roman" w:cs="Arial"/>
          <w:sz w:val="20"/>
          <w:szCs w:val="20"/>
          <w:lang w:eastAsia="en-GB"/>
        </w:rPr>
        <w:t xml:space="preserve">The group provides a forum for discussion, review and approval of IPC&amp;C and Estate related activity, policy, </w:t>
      </w:r>
      <w:proofErr w:type="gramStart"/>
      <w:r w:rsidRPr="000135CD">
        <w:rPr>
          <w:rFonts w:eastAsia="Times New Roman" w:cs="Arial"/>
          <w:sz w:val="20"/>
          <w:szCs w:val="20"/>
          <w:lang w:eastAsia="en-GB"/>
        </w:rPr>
        <w:t>procedure</w:t>
      </w:r>
      <w:proofErr w:type="gramEnd"/>
      <w:r w:rsidRPr="000135CD">
        <w:rPr>
          <w:rFonts w:eastAsia="Times New Roman" w:cs="Arial"/>
          <w:sz w:val="20"/>
          <w:szCs w:val="20"/>
          <w:lang w:eastAsia="en-GB"/>
        </w:rPr>
        <w:t xml:space="preserve"> and guidance, and monitors the progress of actions against the Infection Prevention and Control Quality Improvement Plan and IPC Quality Management System.</w:t>
      </w:r>
    </w:p>
    <w:p w14:paraId="0CFB46F4" w14:textId="77777777" w:rsidR="000135CD" w:rsidRPr="000135CD" w:rsidRDefault="000135CD" w:rsidP="00875C82">
      <w:pPr>
        <w:ind w:left="-709"/>
        <w:rPr>
          <w:rFonts w:cs="Arial"/>
          <w:b/>
          <w:sz w:val="20"/>
          <w:szCs w:val="18"/>
        </w:rPr>
      </w:pPr>
    </w:p>
    <w:p w14:paraId="3C0AF195" w14:textId="5D296B5A" w:rsidR="004064A2" w:rsidRPr="00DA3ADD" w:rsidRDefault="00C8546D" w:rsidP="00875C82">
      <w:pPr>
        <w:ind w:left="-709"/>
        <w:rPr>
          <w:sz w:val="20"/>
          <w:szCs w:val="20"/>
        </w:rPr>
      </w:pPr>
      <w:r w:rsidRPr="00DA3ADD">
        <w:rPr>
          <w:sz w:val="20"/>
          <w:szCs w:val="20"/>
        </w:rPr>
        <w:t>Infection Prevention and Control W</w:t>
      </w:r>
      <w:r w:rsidR="004064A2" w:rsidRPr="00DA3ADD">
        <w:rPr>
          <w:sz w:val="20"/>
          <w:szCs w:val="20"/>
        </w:rPr>
        <w:t xml:space="preserve">orking </w:t>
      </w:r>
      <w:r w:rsidRPr="00DA3ADD">
        <w:rPr>
          <w:sz w:val="20"/>
          <w:szCs w:val="20"/>
        </w:rPr>
        <w:t>G</w:t>
      </w:r>
      <w:r w:rsidR="004064A2" w:rsidRPr="00DA3ADD">
        <w:rPr>
          <w:sz w:val="20"/>
          <w:szCs w:val="20"/>
        </w:rPr>
        <w:t>roup</w:t>
      </w:r>
      <w:r w:rsidR="000C38BE" w:rsidRPr="00DA3ADD">
        <w:rPr>
          <w:sz w:val="20"/>
          <w:szCs w:val="20"/>
        </w:rPr>
        <w:t xml:space="preserve"> me</w:t>
      </w:r>
      <w:r w:rsidR="00F1583A" w:rsidRPr="00DA3ADD">
        <w:rPr>
          <w:sz w:val="20"/>
          <w:szCs w:val="20"/>
        </w:rPr>
        <w:t>t</w:t>
      </w:r>
      <w:r w:rsidR="000C38BE" w:rsidRPr="00DA3ADD">
        <w:rPr>
          <w:sz w:val="20"/>
          <w:szCs w:val="20"/>
        </w:rPr>
        <w:t xml:space="preserve"> on a</w:t>
      </w:r>
      <w:r w:rsidR="00AE0586" w:rsidRPr="00DA3ADD">
        <w:rPr>
          <w:sz w:val="20"/>
          <w:szCs w:val="20"/>
        </w:rPr>
        <w:t xml:space="preserve"> </w:t>
      </w:r>
      <w:r w:rsidR="00B406A9" w:rsidRPr="00DA3ADD">
        <w:rPr>
          <w:sz w:val="20"/>
          <w:szCs w:val="20"/>
        </w:rPr>
        <w:t xml:space="preserve">weekly </w:t>
      </w:r>
      <w:r w:rsidR="000C38BE" w:rsidRPr="00DA3ADD">
        <w:rPr>
          <w:sz w:val="20"/>
          <w:szCs w:val="20"/>
        </w:rPr>
        <w:t>basis</w:t>
      </w:r>
      <w:r w:rsidR="00F1583A" w:rsidRPr="00DA3ADD">
        <w:rPr>
          <w:sz w:val="20"/>
          <w:szCs w:val="20"/>
        </w:rPr>
        <w:t xml:space="preserve"> throughout 202</w:t>
      </w:r>
      <w:r w:rsidR="00B406A9" w:rsidRPr="00DA3ADD">
        <w:rPr>
          <w:sz w:val="20"/>
          <w:szCs w:val="20"/>
        </w:rPr>
        <w:t>2</w:t>
      </w:r>
      <w:r w:rsidR="00F1583A" w:rsidRPr="00DA3ADD">
        <w:rPr>
          <w:sz w:val="20"/>
          <w:szCs w:val="20"/>
        </w:rPr>
        <w:t>.</w:t>
      </w:r>
      <w:r w:rsidR="000C38BE" w:rsidRPr="00DA3ADD">
        <w:rPr>
          <w:sz w:val="20"/>
          <w:szCs w:val="20"/>
        </w:rPr>
        <w:t xml:space="preserve"> </w:t>
      </w:r>
      <w:r w:rsidR="00B406A9" w:rsidRPr="00DA3ADD">
        <w:rPr>
          <w:sz w:val="20"/>
          <w:szCs w:val="20"/>
        </w:rPr>
        <w:t xml:space="preserve">The meetings were well attended with the IPC Quality Improvement plan as a standing item on the agenda to maintain traction </w:t>
      </w:r>
      <w:r w:rsidR="00B406A9" w:rsidRPr="00DA3ADD">
        <w:rPr>
          <w:sz w:val="20"/>
          <w:szCs w:val="20"/>
        </w:rPr>
        <w:lastRenderedPageBreak/>
        <w:t>with actions. T</w:t>
      </w:r>
      <w:r w:rsidR="000C38BE" w:rsidRPr="00DA3ADD">
        <w:rPr>
          <w:sz w:val="20"/>
          <w:szCs w:val="20"/>
        </w:rPr>
        <w:t xml:space="preserve">his group reports to the Infection Prevention &amp; Control and Cleanliness Committee. In </w:t>
      </w:r>
      <w:r w:rsidR="00B406A9" w:rsidRPr="00DA3ADD">
        <w:rPr>
          <w:sz w:val="20"/>
          <w:szCs w:val="20"/>
        </w:rPr>
        <w:t xml:space="preserve">December </w:t>
      </w:r>
      <w:r w:rsidR="000C38BE" w:rsidRPr="00DA3ADD">
        <w:rPr>
          <w:sz w:val="20"/>
          <w:szCs w:val="20"/>
        </w:rPr>
        <w:t xml:space="preserve">2022, the frequency of this meeting </w:t>
      </w:r>
      <w:r w:rsidR="00B406A9" w:rsidRPr="00DA3ADD">
        <w:rPr>
          <w:sz w:val="20"/>
          <w:szCs w:val="20"/>
        </w:rPr>
        <w:t>stepped back to bi</w:t>
      </w:r>
      <w:r w:rsidR="005456F3" w:rsidRPr="00DA3ADD">
        <w:rPr>
          <w:sz w:val="20"/>
          <w:szCs w:val="20"/>
        </w:rPr>
        <w:t>-</w:t>
      </w:r>
      <w:r w:rsidR="00B406A9" w:rsidRPr="00DA3ADD">
        <w:rPr>
          <w:sz w:val="20"/>
          <w:szCs w:val="20"/>
        </w:rPr>
        <w:t xml:space="preserve">weekly following NHSEI visit and the positive feedback of sustained improvements. </w:t>
      </w:r>
      <w:r w:rsidRPr="00DA3ADD">
        <w:rPr>
          <w:sz w:val="20"/>
          <w:szCs w:val="20"/>
        </w:rPr>
        <w:t xml:space="preserve"> The meeting provides effective </w:t>
      </w:r>
      <w:r w:rsidR="004064A2" w:rsidRPr="00DA3ADD">
        <w:rPr>
          <w:sz w:val="20"/>
          <w:szCs w:val="20"/>
        </w:rPr>
        <w:t xml:space="preserve">communication between </w:t>
      </w:r>
      <w:r w:rsidR="00A34970">
        <w:rPr>
          <w:sz w:val="20"/>
          <w:szCs w:val="20"/>
        </w:rPr>
        <w:t>the IPC team</w:t>
      </w:r>
      <w:r w:rsidR="004064A2" w:rsidRPr="00DA3ADD">
        <w:rPr>
          <w:sz w:val="20"/>
          <w:szCs w:val="20"/>
        </w:rPr>
        <w:t xml:space="preserve">, </w:t>
      </w:r>
      <w:r w:rsidR="00D24ED7" w:rsidRPr="00DA3ADD">
        <w:rPr>
          <w:sz w:val="20"/>
          <w:szCs w:val="20"/>
        </w:rPr>
        <w:t>o</w:t>
      </w:r>
      <w:r w:rsidR="004064A2" w:rsidRPr="00DA3ADD">
        <w:rPr>
          <w:sz w:val="20"/>
          <w:szCs w:val="20"/>
        </w:rPr>
        <w:t xml:space="preserve">perational </w:t>
      </w:r>
      <w:proofErr w:type="gramStart"/>
      <w:r w:rsidR="00D24ED7" w:rsidRPr="00DA3ADD">
        <w:rPr>
          <w:sz w:val="20"/>
          <w:szCs w:val="20"/>
        </w:rPr>
        <w:t>a</w:t>
      </w:r>
      <w:r w:rsidR="004064A2" w:rsidRPr="00DA3ADD">
        <w:rPr>
          <w:sz w:val="20"/>
          <w:szCs w:val="20"/>
        </w:rPr>
        <w:t>reas</w:t>
      </w:r>
      <w:proofErr w:type="gramEnd"/>
      <w:r w:rsidR="004064A2" w:rsidRPr="00DA3ADD">
        <w:rPr>
          <w:sz w:val="20"/>
          <w:szCs w:val="20"/>
        </w:rPr>
        <w:t xml:space="preserve"> and Estates &amp; Facilities by identifying and resolving issues in line with Trust priorities. </w:t>
      </w:r>
    </w:p>
    <w:p w14:paraId="62E59B5E" w14:textId="7B382EAD" w:rsidR="00875C82" w:rsidRPr="00CE0762" w:rsidRDefault="00B406A9" w:rsidP="00CE0762">
      <w:pPr>
        <w:ind w:left="-709"/>
        <w:rPr>
          <w:sz w:val="20"/>
          <w:szCs w:val="20"/>
        </w:rPr>
      </w:pPr>
      <w:r w:rsidRPr="00DA3ADD">
        <w:rPr>
          <w:sz w:val="20"/>
          <w:szCs w:val="20"/>
        </w:rPr>
        <w:t xml:space="preserve">The meeting now oversees and approves Estates and Facilities works required to meet IPC standards. </w:t>
      </w:r>
      <w:r w:rsidR="00650DF5" w:rsidRPr="00DA3ADD">
        <w:rPr>
          <w:sz w:val="20"/>
          <w:szCs w:val="20"/>
        </w:rPr>
        <w:t xml:space="preserve">Costings and plan </w:t>
      </w:r>
      <w:proofErr w:type="gramStart"/>
      <w:r w:rsidR="00650DF5" w:rsidRPr="00DA3ADD">
        <w:rPr>
          <w:sz w:val="20"/>
          <w:szCs w:val="20"/>
        </w:rPr>
        <w:t>is</w:t>
      </w:r>
      <w:proofErr w:type="gramEnd"/>
      <w:r w:rsidR="00650DF5" w:rsidRPr="00DA3ADD">
        <w:rPr>
          <w:sz w:val="20"/>
          <w:szCs w:val="20"/>
        </w:rPr>
        <w:t xml:space="preserve"> then completed by the E&amp;F team for formal approval at Capital Management Group (CMG).</w:t>
      </w:r>
    </w:p>
    <w:p w14:paraId="4222A1F8" w14:textId="77777777" w:rsidR="00875C82" w:rsidRDefault="00875C82" w:rsidP="00875C82">
      <w:pPr>
        <w:ind w:left="-709"/>
        <w:rPr>
          <w:b/>
          <w:sz w:val="22"/>
        </w:rPr>
      </w:pPr>
    </w:p>
    <w:p w14:paraId="174B2AA1" w14:textId="1D863EC4" w:rsidR="00060D4A" w:rsidRPr="00DA3ADD" w:rsidRDefault="00184280" w:rsidP="00875C82">
      <w:pPr>
        <w:ind w:left="-709"/>
        <w:rPr>
          <w:b/>
          <w:sz w:val="22"/>
        </w:rPr>
      </w:pPr>
      <w:r w:rsidRPr="00DA3ADD">
        <w:rPr>
          <w:b/>
          <w:sz w:val="22"/>
        </w:rPr>
        <w:t>IPC Link Staff</w:t>
      </w:r>
      <w:r w:rsidR="00685022" w:rsidRPr="00DA3ADD">
        <w:rPr>
          <w:b/>
          <w:sz w:val="22"/>
        </w:rPr>
        <w:t xml:space="preserve"> System </w:t>
      </w:r>
    </w:p>
    <w:p w14:paraId="22D55B78" w14:textId="561D3A7A" w:rsidR="00A54935" w:rsidRPr="00AF3935" w:rsidRDefault="006F018B" w:rsidP="00875C82">
      <w:pPr>
        <w:ind w:left="-709"/>
        <w:rPr>
          <w:rFonts w:cs="Arial"/>
          <w:color w:val="0070C0"/>
          <w:sz w:val="22"/>
        </w:rPr>
      </w:pPr>
      <w:r>
        <w:rPr>
          <w:rFonts w:cs="Arial"/>
          <w:sz w:val="20"/>
          <w:szCs w:val="20"/>
        </w:rPr>
        <w:t>The IPC Link Staff system enables the IPC team to d</w:t>
      </w:r>
      <w:r w:rsidR="00E61E29">
        <w:rPr>
          <w:rFonts w:cs="Arial"/>
          <w:sz w:val="20"/>
          <w:szCs w:val="20"/>
        </w:rPr>
        <w:t xml:space="preserve">eliver key information, education, and advice that is shared to the wards and departments in a cascade system. IPC Link Staff form part of a group that meets bi-monthly. The </w:t>
      </w:r>
      <w:r w:rsidR="005E53F0" w:rsidRPr="00DA3ADD">
        <w:rPr>
          <w:rFonts w:cs="Arial"/>
          <w:sz w:val="20"/>
          <w:szCs w:val="20"/>
        </w:rPr>
        <w:t xml:space="preserve">IPC team and the link staff ward/department managers </w:t>
      </w:r>
      <w:r w:rsidR="00C911CE" w:rsidRPr="00DA3ADD">
        <w:rPr>
          <w:rFonts w:cs="Arial"/>
          <w:sz w:val="20"/>
          <w:szCs w:val="20"/>
        </w:rPr>
        <w:t>agree to roles and responsibilities which clearly define the expectations of the link staff role.</w:t>
      </w:r>
      <w:r w:rsidR="00650DF5" w:rsidRPr="00DA3ADD">
        <w:rPr>
          <w:rFonts w:cs="Arial"/>
          <w:sz w:val="20"/>
          <w:szCs w:val="20"/>
        </w:rPr>
        <w:t xml:space="preserve"> Attendance </w:t>
      </w:r>
      <w:r w:rsidR="00864586" w:rsidRPr="00DA3ADD">
        <w:rPr>
          <w:rFonts w:cs="Arial"/>
          <w:sz w:val="20"/>
          <w:szCs w:val="20"/>
        </w:rPr>
        <w:t>at</w:t>
      </w:r>
      <w:r w:rsidR="00650DF5" w:rsidRPr="00DA3ADD">
        <w:rPr>
          <w:rFonts w:cs="Arial"/>
          <w:sz w:val="20"/>
          <w:szCs w:val="20"/>
        </w:rPr>
        <w:t xml:space="preserve"> mee</w:t>
      </w:r>
      <w:r w:rsidR="00864586" w:rsidRPr="00DA3ADD">
        <w:rPr>
          <w:rFonts w:cs="Arial"/>
          <w:sz w:val="20"/>
          <w:szCs w:val="20"/>
        </w:rPr>
        <w:t>t</w:t>
      </w:r>
      <w:r w:rsidR="00650DF5" w:rsidRPr="00DA3ADD">
        <w:rPr>
          <w:rFonts w:cs="Arial"/>
          <w:sz w:val="20"/>
          <w:szCs w:val="20"/>
        </w:rPr>
        <w:t>ings ha</w:t>
      </w:r>
      <w:r w:rsidR="00864586" w:rsidRPr="00DA3ADD">
        <w:rPr>
          <w:rFonts w:cs="Arial"/>
          <w:sz w:val="20"/>
          <w:szCs w:val="20"/>
        </w:rPr>
        <w:t>s</w:t>
      </w:r>
      <w:r w:rsidR="00650DF5" w:rsidRPr="00DA3ADD">
        <w:rPr>
          <w:rFonts w:cs="Arial"/>
          <w:sz w:val="20"/>
          <w:szCs w:val="20"/>
        </w:rPr>
        <w:t xml:space="preserve"> continued to</w:t>
      </w:r>
      <w:r w:rsidR="00864586" w:rsidRPr="00DA3ADD">
        <w:rPr>
          <w:rFonts w:cs="Arial"/>
          <w:sz w:val="20"/>
          <w:szCs w:val="20"/>
        </w:rPr>
        <w:t xml:space="preserve"> improve following step down of COVID-19 social distancing precautions and </w:t>
      </w:r>
      <w:r w:rsidR="00650DF5" w:rsidRPr="00DA3ADD">
        <w:rPr>
          <w:rFonts w:cs="Arial"/>
          <w:sz w:val="20"/>
          <w:szCs w:val="20"/>
        </w:rPr>
        <w:t xml:space="preserve">reintroduction of </w:t>
      </w:r>
      <w:proofErr w:type="gramStart"/>
      <w:r w:rsidR="00650DF5" w:rsidRPr="00DA3ADD">
        <w:rPr>
          <w:rFonts w:cs="Arial"/>
          <w:sz w:val="20"/>
          <w:szCs w:val="20"/>
        </w:rPr>
        <w:t>face to face</w:t>
      </w:r>
      <w:proofErr w:type="gramEnd"/>
      <w:r w:rsidR="00650DF5" w:rsidRPr="00DA3ADD">
        <w:rPr>
          <w:rFonts w:cs="Arial"/>
          <w:sz w:val="20"/>
          <w:szCs w:val="20"/>
        </w:rPr>
        <w:t xml:space="preserve"> meetings</w:t>
      </w:r>
      <w:r w:rsidR="00864586" w:rsidRPr="00DA3ADD">
        <w:rPr>
          <w:rFonts w:cs="Arial"/>
          <w:sz w:val="20"/>
          <w:szCs w:val="20"/>
        </w:rPr>
        <w:t xml:space="preserve"> in November 2022.</w:t>
      </w:r>
      <w:r w:rsidR="00A34970">
        <w:rPr>
          <w:rFonts w:cs="Arial"/>
          <w:sz w:val="20"/>
          <w:szCs w:val="20"/>
        </w:rPr>
        <w:t xml:space="preserve">  </w:t>
      </w:r>
      <w:r w:rsidR="00E61E29">
        <w:rPr>
          <w:rFonts w:cs="Arial"/>
          <w:sz w:val="20"/>
          <w:szCs w:val="20"/>
        </w:rPr>
        <w:t>Will Walter, our IPC S</w:t>
      </w:r>
      <w:r w:rsidR="00A34970" w:rsidRPr="00E61E29">
        <w:rPr>
          <w:rFonts w:cs="Arial"/>
          <w:sz w:val="20"/>
          <w:szCs w:val="20"/>
        </w:rPr>
        <w:t xml:space="preserve">upport </w:t>
      </w:r>
      <w:r w:rsidR="00E61E29">
        <w:rPr>
          <w:rFonts w:cs="Arial"/>
          <w:sz w:val="20"/>
          <w:szCs w:val="20"/>
        </w:rPr>
        <w:t>W</w:t>
      </w:r>
      <w:r w:rsidR="00A34970" w:rsidRPr="00E61E29">
        <w:rPr>
          <w:rFonts w:cs="Arial"/>
          <w:sz w:val="20"/>
          <w:szCs w:val="20"/>
        </w:rPr>
        <w:t xml:space="preserve">orker has </w:t>
      </w:r>
      <w:r w:rsidR="00B55BA1" w:rsidRPr="00E61E29">
        <w:rPr>
          <w:rFonts w:cs="Arial"/>
          <w:sz w:val="20"/>
          <w:szCs w:val="20"/>
        </w:rPr>
        <w:t xml:space="preserve">increased the number of link practitioners by promoting responsibility for </w:t>
      </w:r>
      <w:proofErr w:type="gramStart"/>
      <w:r w:rsidR="00B55BA1" w:rsidRPr="00E61E29">
        <w:rPr>
          <w:rFonts w:cs="Arial"/>
          <w:sz w:val="20"/>
          <w:szCs w:val="20"/>
        </w:rPr>
        <w:t>IPC</w:t>
      </w:r>
      <w:r w:rsidR="00A34970" w:rsidRPr="00E61E29">
        <w:rPr>
          <w:rFonts w:cs="Arial"/>
          <w:sz w:val="20"/>
          <w:szCs w:val="20"/>
        </w:rPr>
        <w:t>, and</w:t>
      </w:r>
      <w:proofErr w:type="gramEnd"/>
      <w:r w:rsidR="00A34970" w:rsidRPr="00E61E29">
        <w:rPr>
          <w:rFonts w:cs="Arial"/>
          <w:sz w:val="20"/>
          <w:szCs w:val="20"/>
        </w:rPr>
        <w:t xml:space="preserve"> provided ‘train the trainer’ style </w:t>
      </w:r>
      <w:r w:rsidR="00716AD4" w:rsidRPr="00E61E29">
        <w:rPr>
          <w:rFonts w:cs="Arial"/>
          <w:sz w:val="20"/>
          <w:szCs w:val="20"/>
        </w:rPr>
        <w:t>training so that they can become responsible for hand hygiene practical assessments in their respective areas; in order to promote ownership of IPC practices.</w:t>
      </w:r>
    </w:p>
    <w:p w14:paraId="7C7F0E25" w14:textId="77777777" w:rsidR="00E04121" w:rsidRDefault="00E04121" w:rsidP="00875C82">
      <w:pPr>
        <w:ind w:left="-709"/>
        <w:rPr>
          <w:rFonts w:cs="Arial"/>
          <w:color w:val="7030A0"/>
          <w:sz w:val="20"/>
          <w:szCs w:val="20"/>
        </w:rPr>
      </w:pPr>
    </w:p>
    <w:p w14:paraId="721874E4" w14:textId="0E05CEEB" w:rsidR="00305375" w:rsidRPr="00380FB6" w:rsidRDefault="00305375" w:rsidP="00875C82">
      <w:pPr>
        <w:ind w:left="-709"/>
        <w:rPr>
          <w:rFonts w:cs="Arial"/>
          <w:b/>
          <w:sz w:val="26"/>
          <w:szCs w:val="26"/>
        </w:rPr>
      </w:pPr>
      <w:r w:rsidRPr="00DA3ADD">
        <w:rPr>
          <w:b/>
          <w:sz w:val="22"/>
        </w:rPr>
        <w:t>Board Assurance Framework</w:t>
      </w:r>
    </w:p>
    <w:p w14:paraId="2F493A20" w14:textId="0118A705" w:rsidR="00305375" w:rsidRPr="00DA3ADD" w:rsidRDefault="00305375" w:rsidP="00875C82">
      <w:pPr>
        <w:spacing w:before="0" w:after="200"/>
        <w:ind w:left="-709"/>
        <w:rPr>
          <w:sz w:val="20"/>
          <w:szCs w:val="20"/>
        </w:rPr>
      </w:pPr>
      <w:r w:rsidRPr="00DA3ADD">
        <w:rPr>
          <w:sz w:val="20"/>
          <w:szCs w:val="20"/>
        </w:rPr>
        <w:t xml:space="preserve">The IPC Board assurance framework (BAF) was developed to help providers assess themselves against the guidance as a source of internal assurance that quality standards are being maintained. The framework offers providers a way to continually review processes and respond in an evidence-based way to maintain the safety of patients, service users and staff. </w:t>
      </w:r>
    </w:p>
    <w:p w14:paraId="5C324FC2" w14:textId="145940CB" w:rsidR="00305375" w:rsidRPr="00E61E29" w:rsidRDefault="00E61E29" w:rsidP="00875C82">
      <w:pPr>
        <w:spacing w:before="0" w:after="200"/>
        <w:ind w:left="-709"/>
        <w:rPr>
          <w:sz w:val="20"/>
          <w:szCs w:val="20"/>
        </w:rPr>
      </w:pPr>
      <w:r>
        <w:rPr>
          <w:sz w:val="20"/>
          <w:szCs w:val="20"/>
        </w:rPr>
        <w:t>A f</w:t>
      </w:r>
      <w:r w:rsidR="00305375" w:rsidRPr="00DA3ADD">
        <w:rPr>
          <w:sz w:val="20"/>
          <w:szCs w:val="20"/>
        </w:rPr>
        <w:t>urther version of the BAF were released in 2021/22 with Version 1.</w:t>
      </w:r>
      <w:r w:rsidR="007A095E" w:rsidRPr="00DA3ADD">
        <w:rPr>
          <w:sz w:val="20"/>
          <w:szCs w:val="20"/>
        </w:rPr>
        <w:t xml:space="preserve">11 released in September 22 </w:t>
      </w:r>
      <w:r w:rsidR="001761D5" w:rsidRPr="00DA3ADD">
        <w:rPr>
          <w:sz w:val="20"/>
          <w:szCs w:val="20"/>
        </w:rPr>
        <w:t>with</w:t>
      </w:r>
      <w:r w:rsidR="007A095E" w:rsidRPr="00DA3ADD">
        <w:rPr>
          <w:sz w:val="20"/>
          <w:szCs w:val="20"/>
        </w:rPr>
        <w:t xml:space="preserve"> a renewed focus to </w:t>
      </w:r>
      <w:r>
        <w:rPr>
          <w:sz w:val="20"/>
          <w:szCs w:val="20"/>
        </w:rPr>
        <w:t>‘</w:t>
      </w:r>
      <w:r w:rsidR="007A095E" w:rsidRPr="00DA3ADD">
        <w:rPr>
          <w:sz w:val="20"/>
          <w:szCs w:val="20"/>
        </w:rPr>
        <w:t>business and usual</w:t>
      </w:r>
      <w:r>
        <w:rPr>
          <w:sz w:val="20"/>
          <w:szCs w:val="20"/>
        </w:rPr>
        <w:t>’</w:t>
      </w:r>
      <w:r w:rsidR="007A095E" w:rsidRPr="00DA3ADD">
        <w:rPr>
          <w:sz w:val="20"/>
          <w:szCs w:val="20"/>
        </w:rPr>
        <w:t xml:space="preserve"> activities</w:t>
      </w:r>
      <w:r>
        <w:rPr>
          <w:sz w:val="20"/>
          <w:szCs w:val="20"/>
        </w:rPr>
        <w:t>,</w:t>
      </w:r>
      <w:r w:rsidR="007A095E" w:rsidRPr="00DA3ADD">
        <w:rPr>
          <w:sz w:val="20"/>
          <w:szCs w:val="20"/>
        </w:rPr>
        <w:t xml:space="preserve"> alongside the ongoing management of COVID-19</w:t>
      </w:r>
      <w:r w:rsidR="00716AD4">
        <w:rPr>
          <w:sz w:val="20"/>
          <w:szCs w:val="20"/>
        </w:rPr>
        <w:t>;</w:t>
      </w:r>
      <w:r w:rsidR="001761D5" w:rsidRPr="00DA3ADD">
        <w:rPr>
          <w:sz w:val="20"/>
          <w:szCs w:val="20"/>
        </w:rPr>
        <w:t xml:space="preserve"> supporting</w:t>
      </w:r>
      <w:r w:rsidR="001761D5" w:rsidRPr="00DA3ADD">
        <w:rPr>
          <w:rFonts w:cs="Arial"/>
          <w:sz w:val="20"/>
          <w:szCs w:val="20"/>
        </w:rPr>
        <w:t xml:space="preserve"> </w:t>
      </w:r>
      <w:r w:rsidR="00716AD4">
        <w:rPr>
          <w:rFonts w:cs="Arial"/>
          <w:sz w:val="20"/>
          <w:szCs w:val="20"/>
        </w:rPr>
        <w:t>t</w:t>
      </w:r>
      <w:r w:rsidR="001761D5" w:rsidRPr="00DA3ADD">
        <w:rPr>
          <w:rFonts w:cs="Arial"/>
          <w:sz w:val="20"/>
          <w:szCs w:val="20"/>
        </w:rPr>
        <w:t>rusts to step down on IPC precautions to assist in the restoration of the services.</w:t>
      </w:r>
    </w:p>
    <w:p w14:paraId="325BD71D" w14:textId="18466EF0" w:rsidR="00380FB6" w:rsidRDefault="00E61E29" w:rsidP="00875C82">
      <w:pPr>
        <w:ind w:left="-709"/>
        <w:rPr>
          <w:sz w:val="20"/>
          <w:szCs w:val="20"/>
        </w:rPr>
      </w:pPr>
      <w:r>
        <w:rPr>
          <w:sz w:val="20"/>
          <w:szCs w:val="20"/>
        </w:rPr>
        <w:t>The Trust continue to demonstrate compliance to the Board Assurance Framework. Our compliance to the BAF is shown belo</w:t>
      </w:r>
      <w:r w:rsidR="00380FB6">
        <w:rPr>
          <w:sz w:val="20"/>
          <w:szCs w:val="20"/>
        </w:rPr>
        <w:t>w:</w:t>
      </w:r>
    </w:p>
    <w:p w14:paraId="6289E03F" w14:textId="77777777" w:rsidR="00E36B0D" w:rsidRPr="00E36B0D" w:rsidRDefault="00E36B0D" w:rsidP="00875C82">
      <w:pPr>
        <w:ind w:left="-709"/>
        <w:rPr>
          <w:sz w:val="20"/>
          <w:szCs w:val="20"/>
        </w:rPr>
      </w:pPr>
    </w:p>
    <w:p w14:paraId="6A7A0755" w14:textId="6284F21B" w:rsidR="00E36B0D" w:rsidRPr="00E36B0D" w:rsidRDefault="00E36B0D" w:rsidP="00875C82">
      <w:pPr>
        <w:ind w:left="-709"/>
        <w:rPr>
          <w:sz w:val="20"/>
          <w:szCs w:val="20"/>
        </w:rPr>
      </w:pPr>
      <w:r w:rsidRPr="00E36B0D">
        <w:rPr>
          <w:noProof/>
          <w:sz w:val="20"/>
          <w:szCs w:val="20"/>
        </w:rPr>
        <w:drawing>
          <wp:inline distT="0" distB="0" distL="0" distR="0" wp14:anchorId="2148E2D5" wp14:editId="0432C3E0">
            <wp:extent cx="3448531" cy="1581371"/>
            <wp:effectExtent l="0" t="0" r="0" b="0"/>
            <wp:docPr id="202" name="Picture 202" descr="A green and orange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green and orange pie chart&#10;&#10;Description automatically generated"/>
                    <pic:cNvPicPr/>
                  </pic:nvPicPr>
                  <pic:blipFill>
                    <a:blip r:embed="rId12"/>
                    <a:stretch>
                      <a:fillRect/>
                    </a:stretch>
                  </pic:blipFill>
                  <pic:spPr>
                    <a:xfrm>
                      <a:off x="0" y="0"/>
                      <a:ext cx="3448531" cy="1581371"/>
                    </a:xfrm>
                    <a:prstGeom prst="rect">
                      <a:avLst/>
                    </a:prstGeom>
                  </pic:spPr>
                </pic:pic>
              </a:graphicData>
            </a:graphic>
          </wp:inline>
        </w:drawing>
      </w:r>
    </w:p>
    <w:p w14:paraId="6BB13F17" w14:textId="25C6829C" w:rsidR="007B3466" w:rsidRPr="00380FB6" w:rsidRDefault="00E36B0D" w:rsidP="00CE0762">
      <w:pPr>
        <w:ind w:left="-709"/>
        <w:rPr>
          <w:sz w:val="20"/>
          <w:szCs w:val="20"/>
        </w:rPr>
        <w:sectPr w:rsidR="007B3466" w:rsidRPr="00380FB6" w:rsidSect="00DB7C89">
          <w:headerReference w:type="default" r:id="rId13"/>
          <w:footerReference w:type="default" r:id="rId14"/>
          <w:pgSz w:w="11906" w:h="16838"/>
          <w:pgMar w:top="1440" w:right="1440" w:bottom="1440" w:left="1440" w:header="709" w:footer="0" w:gutter="0"/>
          <w:cols w:space="708"/>
          <w:docGrid w:linePitch="360"/>
        </w:sectPr>
      </w:pPr>
      <w:r>
        <w:rPr>
          <w:sz w:val="20"/>
          <w:szCs w:val="20"/>
        </w:rPr>
        <w:t xml:space="preserve">Compliance to the BAF is monitored by the IPC team and reported through the IPC&amp;CC for oversight.  </w:t>
      </w:r>
    </w:p>
    <w:p w14:paraId="3FD9AF4C" w14:textId="512192E3" w:rsidR="00455F1F" w:rsidRPr="002A4447" w:rsidRDefault="00247730" w:rsidP="006D5573">
      <w:pPr>
        <w:rPr>
          <w:rFonts w:cs="Arial"/>
          <w:b/>
          <w:szCs w:val="24"/>
          <w:u w:val="single"/>
        </w:rPr>
      </w:pPr>
      <w:r w:rsidRPr="00247730">
        <w:rPr>
          <w:rFonts w:cs="Arial"/>
          <w:noProof/>
          <w:sz w:val="22"/>
          <w:lang w:eastAsia="en-GB"/>
        </w:rPr>
        <w:lastRenderedPageBreak/>
        <mc:AlternateContent>
          <mc:Choice Requires="wps">
            <w:drawing>
              <wp:anchor distT="0" distB="0" distL="114300" distR="114300" simplePos="0" relativeHeight="251776000" behindDoc="0" locked="0" layoutInCell="1" allowOverlap="1" wp14:anchorId="45679D63" wp14:editId="330DA8EC">
                <wp:simplePos x="0" y="0"/>
                <wp:positionH relativeFrom="column">
                  <wp:posOffset>-599652</wp:posOffset>
                </wp:positionH>
                <wp:positionV relativeFrom="paragraph">
                  <wp:posOffset>-835378</wp:posOffset>
                </wp:positionV>
                <wp:extent cx="8545689" cy="428978"/>
                <wp:effectExtent l="0" t="0" r="27305" b="285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5689" cy="428978"/>
                        </a:xfrm>
                        <a:prstGeom prst="rect">
                          <a:avLst/>
                        </a:prstGeom>
                        <a:noFill/>
                        <a:ln w="9525">
                          <a:solidFill>
                            <a:schemeClr val="bg1"/>
                          </a:solidFill>
                          <a:miter lim="800000"/>
                          <a:headEnd/>
                          <a:tailEnd/>
                        </a:ln>
                      </wps:spPr>
                      <wps:txbx>
                        <w:txbxContent>
                          <w:p w14:paraId="2DC90AAA" w14:textId="77777777" w:rsidR="005D48B8" w:rsidRPr="007B5F68" w:rsidRDefault="005D48B8">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679D63" id="_x0000_t202" coordsize="21600,21600" o:spt="202" path="m,l,21600r21600,l21600,xe">
                <v:stroke joinstyle="miter"/>
                <v:path gradientshapeok="t" o:connecttype="rect"/>
              </v:shapetype>
              <v:shape id="Text Box 2" o:spid="_x0000_s1035" type="#_x0000_t202" style="position:absolute;margin-left:-47.2pt;margin-top:-65.8pt;width:672.9pt;height:33.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cwEQIAAPwDAAAOAAAAZHJzL2Uyb0RvYy54bWysU1Fv0zAQfkfiP1h+p2mrdmujptPoGEIa&#10;A2nwAxzHaSxsnzm7Tcav5+x0XQVviDxYvpz93Xfffd7cDNawo8KgwVV8NplyppyERrt9xb9/u3+3&#10;4ixE4RphwKmKP6vAb7Zv32x6X6o5dGAahYxAXCh7X/EuRl8WRZCdsiJMwCtHyRbQikgh7osGRU/o&#10;1hTz6fSq6AEbjyBVCPT3bkzybcZvWyXjl7YNKjJTceIW84p5rdNabDei3KPwnZYnGuIfWFihHRU9&#10;Q92JKNgB9V9QVkuEAG2cSLAFtK2WKvdA3cymf3Tz1Amvci8kTvBnmcL/g5WPxyf/FVkc3sNAA8xN&#10;BP8A8kdgDnadcHt1iwh9p0RDhWdJsqL3oTxdTVKHMiSQuv8MDQ1ZHCJkoKFFm1ShPhmh0wCez6Kr&#10;ITJJP1fLxfJqteZMUm4xX62vV7mEKF9uewzxowLL0qbiSEPN6OL4EGJiI8qXI6mYg3ttTB6scayv&#10;+Ho5X459gdFNSqZj2WJqZ5AdBZmj3o+dUeLylNWR/Gm0JaLT9I2OSWJ8cE0uEoU2456IGHdSJwky&#10;ShOHemC6IR7pbhKrhuaZ5EIY7UjPhzYd4C/OerJixcPPg0DFmfnkSPL1bLFI3s3BYnk9pwAvM/Vl&#10;RjhJUBWPnI3bXcx+H6W5pdG0Oqv2yuREmSyWxTw9h+Thyzifen20298AAAD//wMAUEsDBBQABgAI&#10;AAAAIQDiQQzZ4wAAAA0BAAAPAAAAZHJzL2Rvd25yZXYueG1sTI/NTsMwEITvSLyDtUjcWsdtGkqI&#10;UwEqXHoASiU4uvGSRPgnxG6Tvj3bE9x2Z0az3xar0Rp2xD603kkQ0wQYusrr1tUSdu9PkyWwEJXT&#10;yniHEk4YYFVeXhQq135wb3jcxppRiQu5ktDE2OWch6pBq8LUd+jI+/K9VZHWvua6VwOVW8NnSZJx&#10;q1pHFxrV4WOD1ff2YCUMrw/PH+K0SH/sy3L9ual35ma+lvL6ary/AxZxjH9hOOMTOpTEtPcHpwMz&#10;Eia3aUpRGsRcZMDOkdlCkLYnLUsT4GXB/39R/gIAAP//AwBQSwECLQAUAAYACAAAACEAtoM4kv4A&#10;AADhAQAAEwAAAAAAAAAAAAAAAAAAAAAAW0NvbnRlbnRfVHlwZXNdLnhtbFBLAQItABQABgAIAAAA&#10;IQA4/SH/1gAAAJQBAAALAAAAAAAAAAAAAAAAAC8BAABfcmVscy8ucmVsc1BLAQItABQABgAIAAAA&#10;IQCTSNcwEQIAAPwDAAAOAAAAAAAAAAAAAAAAAC4CAABkcnMvZTJvRG9jLnhtbFBLAQItABQABgAI&#10;AAAAIQDiQQzZ4wAAAA0BAAAPAAAAAAAAAAAAAAAAAGsEAABkcnMvZG93bnJldi54bWxQSwUGAAAA&#10;AAQABADzAAAAewUAAAAA&#10;" filled="f" strokecolor="white [3212]">
                <v:textbox>
                  <w:txbxContent>
                    <w:p w14:paraId="2DC90AAA" w14:textId="77777777" w:rsidR="005D48B8" w:rsidRPr="007B5F68" w:rsidRDefault="005D48B8">
                      <w:pPr>
                        <w:rPr>
                          <w:color w:val="FF0000"/>
                        </w:rPr>
                      </w:pPr>
                    </w:p>
                  </w:txbxContent>
                </v:textbox>
              </v:shape>
            </w:pict>
          </mc:Fallback>
        </mc:AlternateContent>
      </w:r>
      <w:r w:rsidR="00645870" w:rsidRPr="002A4447">
        <w:rPr>
          <w:rFonts w:cs="Arial"/>
          <w:b/>
          <w:szCs w:val="24"/>
          <w:u w:val="single"/>
        </w:rPr>
        <w:t xml:space="preserve">Mandatory Surveillance </w:t>
      </w:r>
    </w:p>
    <w:p w14:paraId="2A787151" w14:textId="77777777" w:rsidR="00045F98" w:rsidRPr="00E61E29" w:rsidRDefault="00045F98" w:rsidP="00045F98">
      <w:pPr>
        <w:rPr>
          <w:rFonts w:cs="Arial"/>
          <w:bCs/>
          <w:sz w:val="20"/>
          <w:szCs w:val="20"/>
        </w:rPr>
      </w:pPr>
      <w:r w:rsidRPr="00E61E29">
        <w:rPr>
          <w:rFonts w:cs="Arial"/>
          <w:bCs/>
          <w:sz w:val="20"/>
          <w:szCs w:val="20"/>
        </w:rPr>
        <w:t xml:space="preserve">All organisms of significance are monitored by the IPC team via a database supported by the SaTH laboratory so that timely action can be taken to support the clinical teams in the management of the patients, including safe patient placement and advise on isolation requirements. </w:t>
      </w:r>
    </w:p>
    <w:p w14:paraId="1D26CAC2" w14:textId="77777777" w:rsidR="006D5573" w:rsidRPr="00F370F8" w:rsidRDefault="006D5573" w:rsidP="006D5573">
      <w:pPr>
        <w:rPr>
          <w:rFonts w:cs="Arial"/>
          <w:b/>
          <w:szCs w:val="24"/>
        </w:rPr>
      </w:pPr>
    </w:p>
    <w:p w14:paraId="743D2746" w14:textId="77777777" w:rsidR="00667314" w:rsidRPr="00247F64" w:rsidRDefault="00667314" w:rsidP="00667314">
      <w:pPr>
        <w:spacing w:before="0" w:after="200" w:line="276" w:lineRule="auto"/>
        <w:rPr>
          <w:rFonts w:eastAsiaTheme="minorHAnsi" w:cs="Arial"/>
          <w:b/>
          <w:sz w:val="22"/>
          <w:u w:val="single"/>
        </w:rPr>
      </w:pPr>
      <w:r w:rsidRPr="00A62D04">
        <w:rPr>
          <w:rFonts w:eastAsiaTheme="minorHAnsi" w:cs="Arial"/>
          <w:b/>
          <w:sz w:val="22"/>
          <w:u w:val="single"/>
        </w:rPr>
        <w:t>Healthcare Associated Infections</w:t>
      </w:r>
      <w:r w:rsidRPr="00247F64">
        <w:rPr>
          <w:rFonts w:eastAsiaTheme="minorHAnsi" w:cs="Arial"/>
          <w:b/>
          <w:sz w:val="22"/>
          <w:u w:val="single"/>
        </w:rPr>
        <w:t xml:space="preserve"> </w:t>
      </w:r>
    </w:p>
    <w:p w14:paraId="6918AE79" w14:textId="7CF89D96" w:rsidR="00667314" w:rsidRPr="00E61E29" w:rsidRDefault="00667314" w:rsidP="00B10A9D">
      <w:pPr>
        <w:pStyle w:val="Table-text"/>
        <w:rPr>
          <w:rFonts w:eastAsiaTheme="minorHAnsi"/>
          <w:szCs w:val="20"/>
        </w:rPr>
      </w:pPr>
      <w:r w:rsidRPr="00E61E29">
        <w:rPr>
          <w:rFonts w:eastAsiaTheme="minorHAnsi"/>
          <w:szCs w:val="20"/>
        </w:rPr>
        <w:t xml:space="preserve">Reducing health care-associated infections (HAIs) remains high </w:t>
      </w:r>
      <w:r w:rsidR="00A52C97" w:rsidRPr="00E61E29">
        <w:rPr>
          <w:rFonts w:eastAsiaTheme="minorHAnsi"/>
          <w:szCs w:val="20"/>
        </w:rPr>
        <w:t>priority, as we see the numbers rise nationally. The NHS Long-term plan supports a</w:t>
      </w:r>
      <w:r w:rsidRPr="00E61E29">
        <w:rPr>
          <w:rFonts w:eastAsiaTheme="minorHAnsi"/>
          <w:szCs w:val="20"/>
        </w:rPr>
        <w:t xml:space="preserve"> reduc</w:t>
      </w:r>
      <w:r w:rsidR="00A52C97" w:rsidRPr="00E61E29">
        <w:rPr>
          <w:rFonts w:eastAsiaTheme="minorHAnsi"/>
          <w:szCs w:val="20"/>
        </w:rPr>
        <w:t>tion in</w:t>
      </w:r>
      <w:r w:rsidRPr="00E61E29">
        <w:rPr>
          <w:rFonts w:eastAsiaTheme="minorHAnsi"/>
          <w:szCs w:val="20"/>
        </w:rPr>
        <w:t xml:space="preserve"> the number of Gram-negative bloodstream infections by 50% by 2024/25</w:t>
      </w:r>
      <w:r w:rsidR="00A52C97" w:rsidRPr="00E61E29">
        <w:rPr>
          <w:rFonts w:eastAsiaTheme="minorHAnsi"/>
          <w:szCs w:val="20"/>
        </w:rPr>
        <w:t xml:space="preserve">.  </w:t>
      </w:r>
    </w:p>
    <w:p w14:paraId="3DEEA18E" w14:textId="77777777" w:rsidR="00045F98" w:rsidRPr="00342348" w:rsidRDefault="00045F98" w:rsidP="00045F98">
      <w:pPr>
        <w:pStyle w:val="Table-text"/>
        <w:rPr>
          <w:rFonts w:eastAsiaTheme="minorHAnsi"/>
          <w:color w:val="7030A0"/>
          <w:szCs w:val="20"/>
        </w:rPr>
      </w:pPr>
    </w:p>
    <w:p w14:paraId="6AF4D022" w14:textId="20BFFEA9" w:rsidR="00045F98" w:rsidRPr="00342348" w:rsidRDefault="00045F98" w:rsidP="00045F98">
      <w:pPr>
        <w:pStyle w:val="Table-text"/>
        <w:rPr>
          <w:rFonts w:eastAsiaTheme="minorHAnsi"/>
          <w:color w:val="000000" w:themeColor="text1"/>
          <w:szCs w:val="20"/>
        </w:rPr>
      </w:pPr>
      <w:r w:rsidRPr="00342348">
        <w:rPr>
          <w:rFonts w:eastAsiaTheme="minorHAnsi"/>
          <w:color w:val="000000" w:themeColor="text1"/>
          <w:szCs w:val="20"/>
        </w:rPr>
        <w:t xml:space="preserve">The graph below shows the total of Healthcare Associated Infections (HAI) blood stream infections reported from April 2017 to March 2023. </w:t>
      </w:r>
    </w:p>
    <w:p w14:paraId="619120EA" w14:textId="77777777" w:rsidR="00B366FA" w:rsidRPr="00342348" w:rsidRDefault="00B366FA" w:rsidP="00B10A9D">
      <w:pPr>
        <w:pStyle w:val="Table-text"/>
        <w:rPr>
          <w:rFonts w:eastAsiaTheme="minorHAnsi"/>
          <w:color w:val="000000" w:themeColor="text1"/>
          <w:szCs w:val="20"/>
        </w:rPr>
      </w:pPr>
    </w:p>
    <w:p w14:paraId="72EA5682" w14:textId="1845A4CA" w:rsidR="00B10A9D" w:rsidRPr="00B10A9D" w:rsidRDefault="00570807" w:rsidP="00B10A9D">
      <w:pPr>
        <w:pStyle w:val="Table-text"/>
        <w:rPr>
          <w:rFonts w:eastAsiaTheme="minorHAnsi"/>
          <w:sz w:val="22"/>
        </w:rPr>
      </w:pPr>
      <w:r>
        <w:rPr>
          <w:rFonts w:eastAsiaTheme="minorHAnsi"/>
          <w:noProof/>
          <w:sz w:val="22"/>
        </w:rPr>
        <w:drawing>
          <wp:inline distT="0" distB="0" distL="0" distR="0" wp14:anchorId="691DA9B8" wp14:editId="06898AB1">
            <wp:extent cx="6314712" cy="16859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66603" cy="1726477"/>
                    </a:xfrm>
                    <a:prstGeom prst="rect">
                      <a:avLst/>
                    </a:prstGeom>
                    <a:noFill/>
                    <a:ln>
                      <a:noFill/>
                    </a:ln>
                  </pic:spPr>
                </pic:pic>
              </a:graphicData>
            </a:graphic>
          </wp:inline>
        </w:drawing>
      </w:r>
    </w:p>
    <w:p w14:paraId="49A1E50C" w14:textId="10D9BAF7" w:rsidR="00B37A0F" w:rsidRPr="0068303A" w:rsidRDefault="00B37A0F" w:rsidP="0068303A">
      <w:pPr>
        <w:spacing w:before="0" w:after="200" w:line="276" w:lineRule="auto"/>
        <w:rPr>
          <w:rFonts w:eastAsiaTheme="minorHAnsi" w:cs="Arial"/>
          <w:sz w:val="22"/>
        </w:rPr>
      </w:pPr>
    </w:p>
    <w:p w14:paraId="4CCF48D7" w14:textId="77777777" w:rsidR="00045F98" w:rsidRPr="00045F98" w:rsidRDefault="00045F98" w:rsidP="00045F98">
      <w:pPr>
        <w:spacing w:before="0" w:after="200" w:line="276" w:lineRule="auto"/>
        <w:rPr>
          <w:rFonts w:eastAsiaTheme="minorHAnsi" w:cs="Arial"/>
          <w:b/>
          <w:sz w:val="22"/>
          <w:u w:val="single"/>
        </w:rPr>
      </w:pPr>
      <w:r w:rsidRPr="00045F98">
        <w:rPr>
          <w:rFonts w:eastAsiaTheme="minorHAnsi" w:cs="Arial"/>
          <w:b/>
          <w:sz w:val="22"/>
          <w:u w:val="single"/>
        </w:rPr>
        <w:t xml:space="preserve">Methicillin Resistant Staphylococcus Aureus Bacteraemia (MRSA) </w:t>
      </w:r>
    </w:p>
    <w:p w14:paraId="6DBBFE80" w14:textId="34733DBE" w:rsidR="00045F98" w:rsidRPr="00E61E29" w:rsidRDefault="00045F98" w:rsidP="00045F98">
      <w:pPr>
        <w:pStyle w:val="Table-text"/>
        <w:rPr>
          <w:rFonts w:eastAsiaTheme="minorHAnsi"/>
          <w:szCs w:val="20"/>
        </w:rPr>
      </w:pPr>
      <w:r w:rsidRPr="00E61E29">
        <w:rPr>
          <w:rFonts w:eastAsiaTheme="minorHAnsi"/>
          <w:szCs w:val="20"/>
        </w:rPr>
        <w:t xml:space="preserve">The Trust continues </w:t>
      </w:r>
      <w:r w:rsidR="000A663B" w:rsidRPr="00E61E29">
        <w:rPr>
          <w:rFonts w:eastAsiaTheme="minorHAnsi"/>
          <w:szCs w:val="20"/>
        </w:rPr>
        <w:t>to report zero cases</w:t>
      </w:r>
      <w:r w:rsidRPr="00E61E29">
        <w:rPr>
          <w:rFonts w:eastAsiaTheme="minorHAnsi"/>
          <w:szCs w:val="20"/>
        </w:rPr>
        <w:t xml:space="preserve"> of MRSA bacteraemia for its 16</w:t>
      </w:r>
      <w:r w:rsidRPr="00E61E29">
        <w:rPr>
          <w:rFonts w:eastAsiaTheme="minorHAnsi"/>
          <w:szCs w:val="20"/>
          <w:vertAlign w:val="superscript"/>
        </w:rPr>
        <w:t>th</w:t>
      </w:r>
      <w:r w:rsidRPr="00E61E29">
        <w:rPr>
          <w:rFonts w:eastAsiaTheme="minorHAnsi"/>
          <w:szCs w:val="20"/>
        </w:rPr>
        <w:t xml:space="preserve"> consecutive year.</w:t>
      </w:r>
    </w:p>
    <w:p w14:paraId="64DCE951" w14:textId="77777777" w:rsidR="00045F98" w:rsidRPr="00045F98" w:rsidRDefault="00045F98" w:rsidP="00045F98">
      <w:pPr>
        <w:pStyle w:val="Table-text"/>
        <w:rPr>
          <w:rFonts w:eastAsiaTheme="minorHAnsi"/>
          <w:szCs w:val="20"/>
        </w:rPr>
      </w:pPr>
    </w:p>
    <w:p w14:paraId="601F5F32" w14:textId="77777777" w:rsidR="00045F98" w:rsidRPr="00045F98" w:rsidRDefault="00045F98" w:rsidP="00045F98">
      <w:pPr>
        <w:spacing w:before="0" w:after="200" w:line="276" w:lineRule="auto"/>
        <w:rPr>
          <w:rFonts w:eastAsiaTheme="minorHAnsi" w:cs="Arial"/>
          <w:b/>
          <w:sz w:val="22"/>
          <w:u w:val="single"/>
        </w:rPr>
      </w:pPr>
      <w:r w:rsidRPr="00045F98">
        <w:rPr>
          <w:rFonts w:eastAsiaTheme="minorHAnsi" w:cs="Arial"/>
          <w:b/>
          <w:sz w:val="22"/>
          <w:u w:val="single"/>
        </w:rPr>
        <w:t>Methicillin Sensitive Staphylococcus Aureus (MSSA)</w:t>
      </w:r>
    </w:p>
    <w:p w14:paraId="2E93F42E" w14:textId="5D672B30" w:rsidR="00045F98" w:rsidRPr="00045F98" w:rsidRDefault="00045F98" w:rsidP="00045F98">
      <w:pPr>
        <w:pStyle w:val="Table-text"/>
        <w:rPr>
          <w:rFonts w:cs="Arial"/>
          <w:bCs/>
          <w:szCs w:val="20"/>
        </w:rPr>
      </w:pPr>
      <w:r>
        <w:rPr>
          <w:rFonts w:eastAsiaTheme="minorHAnsi"/>
          <w:szCs w:val="20"/>
        </w:rPr>
        <w:t xml:space="preserve">There </w:t>
      </w:r>
      <w:proofErr w:type="gramStart"/>
      <w:r>
        <w:rPr>
          <w:rFonts w:eastAsiaTheme="minorHAnsi"/>
          <w:szCs w:val="20"/>
        </w:rPr>
        <w:t>were</w:t>
      </w:r>
      <w:proofErr w:type="gramEnd"/>
      <w:r>
        <w:rPr>
          <w:rFonts w:eastAsiaTheme="minorHAnsi"/>
          <w:szCs w:val="20"/>
        </w:rPr>
        <w:t xml:space="preserve"> n</w:t>
      </w:r>
      <w:r w:rsidRPr="00045F98">
        <w:rPr>
          <w:rFonts w:eastAsiaTheme="minorHAnsi"/>
          <w:szCs w:val="20"/>
        </w:rPr>
        <w:t xml:space="preserve">o Trust </w:t>
      </w:r>
      <w:r w:rsidR="00AD443F" w:rsidRPr="00045F98">
        <w:rPr>
          <w:rFonts w:eastAsiaTheme="minorHAnsi"/>
          <w:szCs w:val="20"/>
        </w:rPr>
        <w:t>a</w:t>
      </w:r>
      <w:r w:rsidR="00AD443F">
        <w:rPr>
          <w:rFonts w:eastAsiaTheme="minorHAnsi"/>
          <w:szCs w:val="20"/>
        </w:rPr>
        <w:t>cquire</w:t>
      </w:r>
      <w:r w:rsidR="00AD443F" w:rsidRPr="00045F98">
        <w:rPr>
          <w:rFonts w:eastAsiaTheme="minorHAnsi"/>
          <w:szCs w:val="20"/>
        </w:rPr>
        <w:t xml:space="preserve">d </w:t>
      </w:r>
      <w:r w:rsidRPr="00045F98">
        <w:rPr>
          <w:rFonts w:eastAsiaTheme="minorHAnsi"/>
          <w:szCs w:val="20"/>
        </w:rPr>
        <w:t xml:space="preserve">MSSA bacteraemia reported in 2022-23. </w:t>
      </w:r>
    </w:p>
    <w:p w14:paraId="7620942F" w14:textId="77777777" w:rsidR="00045F98" w:rsidRPr="003576C6" w:rsidRDefault="00045F98" w:rsidP="00045F98">
      <w:pPr>
        <w:pStyle w:val="Table-text"/>
        <w:rPr>
          <w:rFonts w:eastAsiaTheme="minorHAnsi"/>
          <w:sz w:val="22"/>
          <w:highlight w:val="yellow"/>
          <w:u w:val="single"/>
        </w:rPr>
      </w:pPr>
    </w:p>
    <w:p w14:paraId="5949A597" w14:textId="4A2336AF" w:rsidR="003576C6" w:rsidRDefault="003576C6" w:rsidP="00B10A9D">
      <w:pPr>
        <w:pStyle w:val="Table-text"/>
        <w:rPr>
          <w:rFonts w:eastAsiaTheme="minorHAnsi"/>
          <w:b/>
          <w:bCs/>
          <w:sz w:val="22"/>
          <w:u w:val="single"/>
        </w:rPr>
      </w:pPr>
      <w:r>
        <w:rPr>
          <w:rFonts w:eastAsiaTheme="minorHAnsi"/>
          <w:b/>
          <w:bCs/>
          <w:sz w:val="22"/>
          <w:u w:val="single"/>
        </w:rPr>
        <w:t>RJAH Acquired Infections</w:t>
      </w:r>
    </w:p>
    <w:p w14:paraId="44E032F4" w14:textId="77777777" w:rsidR="003576C6" w:rsidRPr="003576C6" w:rsidRDefault="003576C6" w:rsidP="00B10A9D">
      <w:pPr>
        <w:pStyle w:val="Table-text"/>
        <w:rPr>
          <w:rFonts w:eastAsiaTheme="minorHAnsi"/>
          <w:b/>
          <w:bCs/>
          <w:sz w:val="22"/>
          <w:u w:val="single"/>
        </w:rPr>
      </w:pPr>
    </w:p>
    <w:p w14:paraId="2C73F079" w14:textId="059652E2" w:rsidR="00667314" w:rsidRPr="00045F98" w:rsidRDefault="00C973B2" w:rsidP="00B10A9D">
      <w:pPr>
        <w:pStyle w:val="Table-text"/>
        <w:rPr>
          <w:rFonts w:eastAsiaTheme="minorHAnsi"/>
          <w:szCs w:val="20"/>
        </w:rPr>
      </w:pPr>
      <w:r w:rsidRPr="00045F98">
        <w:rPr>
          <w:rFonts w:eastAsiaTheme="minorHAnsi"/>
          <w:szCs w:val="20"/>
        </w:rPr>
        <w:t xml:space="preserve">The graph below shows that </w:t>
      </w:r>
      <w:r w:rsidR="00E61E29">
        <w:rPr>
          <w:rFonts w:eastAsiaTheme="minorHAnsi"/>
          <w:szCs w:val="20"/>
        </w:rPr>
        <w:t>we</w:t>
      </w:r>
      <w:r w:rsidRPr="00045F98">
        <w:rPr>
          <w:rFonts w:eastAsiaTheme="minorHAnsi"/>
          <w:szCs w:val="20"/>
        </w:rPr>
        <w:t xml:space="preserve"> </w:t>
      </w:r>
      <w:r w:rsidR="00060D4A">
        <w:rPr>
          <w:rFonts w:eastAsiaTheme="minorHAnsi"/>
          <w:szCs w:val="20"/>
        </w:rPr>
        <w:t>exceeded our threshold</w:t>
      </w:r>
      <w:r w:rsidRPr="00045F98">
        <w:rPr>
          <w:rFonts w:eastAsiaTheme="minorHAnsi"/>
          <w:szCs w:val="20"/>
        </w:rPr>
        <w:t xml:space="preserve"> for the following </w:t>
      </w:r>
      <w:r w:rsidR="003576C6">
        <w:rPr>
          <w:rFonts w:eastAsiaTheme="minorHAnsi"/>
          <w:szCs w:val="20"/>
        </w:rPr>
        <w:t>A</w:t>
      </w:r>
      <w:r w:rsidRPr="00045F98">
        <w:rPr>
          <w:rFonts w:eastAsiaTheme="minorHAnsi"/>
          <w:szCs w:val="20"/>
        </w:rPr>
        <w:t>lert organisms:</w:t>
      </w:r>
    </w:p>
    <w:p w14:paraId="0C7D384B" w14:textId="3AE5461A" w:rsidR="00C973B2" w:rsidRPr="00045F98" w:rsidRDefault="00C973B2" w:rsidP="00B10A9D">
      <w:pPr>
        <w:pStyle w:val="Table-text"/>
        <w:rPr>
          <w:rFonts w:eastAsiaTheme="minorHAnsi"/>
          <w:szCs w:val="20"/>
        </w:rPr>
      </w:pPr>
    </w:p>
    <w:p w14:paraId="08BF1769" w14:textId="48372DD9" w:rsidR="00C973B2" w:rsidRPr="00045F98" w:rsidRDefault="00C973B2" w:rsidP="009D6D0B">
      <w:pPr>
        <w:pStyle w:val="Table-text"/>
        <w:numPr>
          <w:ilvl w:val="0"/>
          <w:numId w:val="30"/>
        </w:numPr>
        <w:rPr>
          <w:rFonts w:eastAsiaTheme="minorHAnsi"/>
          <w:szCs w:val="20"/>
        </w:rPr>
      </w:pPr>
      <w:proofErr w:type="gramStart"/>
      <w:r w:rsidRPr="00045F98">
        <w:rPr>
          <w:rFonts w:eastAsiaTheme="minorHAnsi"/>
          <w:szCs w:val="20"/>
        </w:rPr>
        <w:t>E.</w:t>
      </w:r>
      <w:r w:rsidRPr="003576C6">
        <w:rPr>
          <w:rFonts w:eastAsiaTheme="minorHAnsi"/>
          <w:i/>
          <w:iCs/>
          <w:szCs w:val="20"/>
        </w:rPr>
        <w:t>coli</w:t>
      </w:r>
      <w:proofErr w:type="gramEnd"/>
    </w:p>
    <w:p w14:paraId="6821FAD2" w14:textId="77777777" w:rsidR="003576C6" w:rsidRPr="003576C6" w:rsidRDefault="003576C6" w:rsidP="009D6D0B">
      <w:pPr>
        <w:pStyle w:val="Table-text"/>
        <w:numPr>
          <w:ilvl w:val="0"/>
          <w:numId w:val="30"/>
        </w:numPr>
        <w:rPr>
          <w:rFonts w:eastAsiaTheme="minorHAnsi"/>
          <w:szCs w:val="20"/>
        </w:rPr>
      </w:pPr>
      <w:r w:rsidRPr="00045F98">
        <w:rPr>
          <w:rFonts w:eastAsiaTheme="minorHAnsi"/>
          <w:szCs w:val="20"/>
        </w:rPr>
        <w:t xml:space="preserve">Klebsiella </w:t>
      </w:r>
      <w:proofErr w:type="spellStart"/>
      <w:r w:rsidRPr="003576C6">
        <w:rPr>
          <w:rFonts w:eastAsiaTheme="minorHAnsi"/>
          <w:i/>
          <w:iCs/>
          <w:szCs w:val="20"/>
        </w:rPr>
        <w:t>spp</w:t>
      </w:r>
      <w:proofErr w:type="spellEnd"/>
    </w:p>
    <w:p w14:paraId="07E6BA5F" w14:textId="7F399977" w:rsidR="00C973B2" w:rsidRPr="00045F98" w:rsidRDefault="00C973B2" w:rsidP="009D6D0B">
      <w:pPr>
        <w:pStyle w:val="Table-text"/>
        <w:numPr>
          <w:ilvl w:val="0"/>
          <w:numId w:val="30"/>
        </w:numPr>
        <w:rPr>
          <w:rFonts w:eastAsiaTheme="minorHAnsi"/>
          <w:szCs w:val="20"/>
        </w:rPr>
      </w:pPr>
      <w:proofErr w:type="spellStart"/>
      <w:r w:rsidRPr="00045F98">
        <w:rPr>
          <w:rFonts w:eastAsiaTheme="minorHAnsi"/>
          <w:szCs w:val="20"/>
        </w:rPr>
        <w:t>C.</w:t>
      </w:r>
      <w:r w:rsidR="003576C6">
        <w:rPr>
          <w:rFonts w:eastAsiaTheme="minorHAnsi"/>
          <w:i/>
          <w:iCs/>
          <w:szCs w:val="20"/>
        </w:rPr>
        <w:t>d</w:t>
      </w:r>
      <w:r w:rsidRPr="003576C6">
        <w:rPr>
          <w:rFonts w:eastAsiaTheme="minorHAnsi"/>
          <w:i/>
          <w:iCs/>
          <w:szCs w:val="20"/>
        </w:rPr>
        <w:t>ifficile</w:t>
      </w:r>
      <w:proofErr w:type="spellEnd"/>
    </w:p>
    <w:p w14:paraId="19A0AA80" w14:textId="77777777" w:rsidR="00045F98" w:rsidRPr="00045F98" w:rsidRDefault="00045F98" w:rsidP="00045F98">
      <w:pPr>
        <w:pStyle w:val="Table-text"/>
        <w:rPr>
          <w:rFonts w:eastAsiaTheme="minorHAnsi"/>
          <w:szCs w:val="20"/>
        </w:rPr>
      </w:pPr>
    </w:p>
    <w:p w14:paraId="741DC5E3" w14:textId="21CCA722" w:rsidR="00C973B2" w:rsidRDefault="00C973B2" w:rsidP="00B10A9D">
      <w:pPr>
        <w:pStyle w:val="Table-text"/>
        <w:rPr>
          <w:rFonts w:eastAsiaTheme="minorHAnsi"/>
          <w:szCs w:val="20"/>
        </w:rPr>
      </w:pPr>
    </w:p>
    <w:p w14:paraId="0A195B19" w14:textId="69FF67AC" w:rsidR="00C973B2" w:rsidRDefault="00464988" w:rsidP="00B10A9D">
      <w:pPr>
        <w:pStyle w:val="Table-text"/>
        <w:rPr>
          <w:rFonts w:eastAsiaTheme="minorHAnsi"/>
          <w:szCs w:val="20"/>
        </w:rPr>
      </w:pPr>
      <w:r>
        <w:rPr>
          <w:rFonts w:eastAsiaTheme="minorHAnsi"/>
          <w:noProof/>
        </w:rPr>
        <w:drawing>
          <wp:anchor distT="0" distB="0" distL="114300" distR="114300" simplePos="0" relativeHeight="251918336" behindDoc="0" locked="0" layoutInCell="1" allowOverlap="1" wp14:anchorId="06926AC0" wp14:editId="66732B9A">
            <wp:simplePos x="0" y="0"/>
            <wp:positionH relativeFrom="margin">
              <wp:align>left</wp:align>
            </wp:positionH>
            <wp:positionV relativeFrom="paragraph">
              <wp:posOffset>122555</wp:posOffset>
            </wp:positionV>
            <wp:extent cx="5675857" cy="2335696"/>
            <wp:effectExtent l="0" t="0" r="127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4717"/>
                    <a:stretch/>
                  </pic:blipFill>
                  <pic:spPr bwMode="auto">
                    <a:xfrm>
                      <a:off x="0" y="0"/>
                      <a:ext cx="5686907" cy="23402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B7CCC9" w14:textId="189B7DC1" w:rsidR="00C973B2" w:rsidRDefault="00C973B2" w:rsidP="00B10A9D">
      <w:pPr>
        <w:pStyle w:val="Table-text"/>
        <w:rPr>
          <w:rFonts w:eastAsiaTheme="minorHAnsi"/>
          <w:szCs w:val="20"/>
        </w:rPr>
      </w:pPr>
    </w:p>
    <w:p w14:paraId="0CE9520D" w14:textId="6DFD7451" w:rsidR="00C973B2" w:rsidRDefault="00C973B2" w:rsidP="00B10A9D">
      <w:pPr>
        <w:pStyle w:val="Table-text"/>
        <w:rPr>
          <w:rFonts w:eastAsiaTheme="minorHAnsi"/>
          <w:szCs w:val="20"/>
        </w:rPr>
      </w:pPr>
    </w:p>
    <w:p w14:paraId="2F643F16" w14:textId="33D50BFB" w:rsidR="00C973B2" w:rsidRDefault="00C973B2" w:rsidP="00B10A9D">
      <w:pPr>
        <w:pStyle w:val="Table-text"/>
        <w:rPr>
          <w:rFonts w:eastAsiaTheme="minorHAnsi"/>
          <w:szCs w:val="20"/>
        </w:rPr>
      </w:pPr>
    </w:p>
    <w:p w14:paraId="0F395F9F" w14:textId="542BD18A" w:rsidR="00C973B2" w:rsidRDefault="00C973B2" w:rsidP="00B10A9D">
      <w:pPr>
        <w:pStyle w:val="Table-text"/>
        <w:rPr>
          <w:rFonts w:eastAsiaTheme="minorHAnsi"/>
          <w:szCs w:val="20"/>
        </w:rPr>
      </w:pPr>
    </w:p>
    <w:p w14:paraId="1650F848" w14:textId="3B518D17" w:rsidR="00C973B2" w:rsidRDefault="00C973B2" w:rsidP="00B10A9D">
      <w:pPr>
        <w:pStyle w:val="Table-text"/>
        <w:rPr>
          <w:rFonts w:eastAsiaTheme="minorHAnsi"/>
          <w:szCs w:val="20"/>
        </w:rPr>
      </w:pPr>
    </w:p>
    <w:p w14:paraId="429E8844" w14:textId="56DE7B88" w:rsidR="00C973B2" w:rsidRDefault="00C973B2" w:rsidP="00B10A9D">
      <w:pPr>
        <w:pStyle w:val="Table-text"/>
        <w:rPr>
          <w:rFonts w:eastAsiaTheme="minorHAnsi"/>
          <w:szCs w:val="20"/>
        </w:rPr>
      </w:pPr>
    </w:p>
    <w:p w14:paraId="303600A6" w14:textId="4880DC17" w:rsidR="00C973B2" w:rsidRDefault="00C973B2" w:rsidP="00B10A9D">
      <w:pPr>
        <w:pStyle w:val="Table-text"/>
        <w:rPr>
          <w:rFonts w:eastAsiaTheme="minorHAnsi"/>
          <w:szCs w:val="20"/>
        </w:rPr>
      </w:pPr>
    </w:p>
    <w:p w14:paraId="4A58A8A6" w14:textId="464AB375" w:rsidR="00C973B2" w:rsidRDefault="00C973B2" w:rsidP="00B10A9D">
      <w:pPr>
        <w:pStyle w:val="Table-text"/>
        <w:rPr>
          <w:rFonts w:eastAsiaTheme="minorHAnsi"/>
          <w:szCs w:val="20"/>
        </w:rPr>
      </w:pPr>
    </w:p>
    <w:p w14:paraId="3AD37076" w14:textId="77777777" w:rsidR="00C973B2" w:rsidRDefault="00C973B2" w:rsidP="00B10A9D">
      <w:pPr>
        <w:pStyle w:val="Table-text"/>
        <w:rPr>
          <w:rFonts w:eastAsiaTheme="minorHAnsi"/>
          <w:szCs w:val="20"/>
        </w:rPr>
      </w:pPr>
    </w:p>
    <w:p w14:paraId="38596671" w14:textId="69F2D29E" w:rsidR="00C973B2" w:rsidRDefault="00C973B2" w:rsidP="00B10A9D">
      <w:pPr>
        <w:pStyle w:val="Table-text"/>
        <w:rPr>
          <w:rFonts w:eastAsiaTheme="minorHAnsi"/>
          <w:szCs w:val="20"/>
        </w:rPr>
      </w:pPr>
    </w:p>
    <w:p w14:paraId="2386D908" w14:textId="0F0C2AE1" w:rsidR="00C973B2" w:rsidRDefault="00C973B2" w:rsidP="00B10A9D">
      <w:pPr>
        <w:pStyle w:val="Table-text"/>
        <w:rPr>
          <w:rFonts w:eastAsiaTheme="minorHAnsi"/>
          <w:szCs w:val="20"/>
        </w:rPr>
      </w:pPr>
    </w:p>
    <w:p w14:paraId="6118D6E3" w14:textId="188B54A5" w:rsidR="00C973B2" w:rsidRDefault="00C973B2" w:rsidP="00C973B2">
      <w:pPr>
        <w:pStyle w:val="NoSpacing"/>
      </w:pPr>
    </w:p>
    <w:p w14:paraId="343AFA69" w14:textId="01DA6856" w:rsidR="00464988" w:rsidRDefault="00464988" w:rsidP="00C973B2">
      <w:pPr>
        <w:pStyle w:val="NoSpacing"/>
      </w:pPr>
    </w:p>
    <w:p w14:paraId="28E4D1D3" w14:textId="77777777" w:rsidR="00173B15" w:rsidRDefault="003576C6" w:rsidP="00173B15">
      <w:pPr>
        <w:pStyle w:val="Table-text"/>
        <w:rPr>
          <w:rFonts w:eastAsiaTheme="minorHAnsi"/>
          <w:sz w:val="22"/>
          <w:u w:val="single"/>
        </w:rPr>
      </w:pPr>
      <w:proofErr w:type="gramStart"/>
      <w:r w:rsidRPr="008B08AA">
        <w:rPr>
          <w:rFonts w:eastAsiaTheme="minorHAnsi"/>
          <w:sz w:val="22"/>
          <w:u w:val="single"/>
        </w:rPr>
        <w:lastRenderedPageBreak/>
        <w:t>E.coli</w:t>
      </w:r>
      <w:proofErr w:type="gramEnd"/>
      <w:r w:rsidRPr="008B08AA">
        <w:rPr>
          <w:rFonts w:eastAsiaTheme="minorHAnsi"/>
          <w:sz w:val="22"/>
          <w:u w:val="single"/>
        </w:rPr>
        <w:t xml:space="preserve"> </w:t>
      </w:r>
    </w:p>
    <w:p w14:paraId="6E713952" w14:textId="44771EC9" w:rsidR="003576C6" w:rsidRPr="00E61E29" w:rsidRDefault="00EF7447" w:rsidP="00173B15">
      <w:pPr>
        <w:pStyle w:val="Table-text"/>
        <w:rPr>
          <w:rFonts w:eastAsiaTheme="minorHAnsi"/>
          <w:szCs w:val="20"/>
          <w:u w:val="single"/>
        </w:rPr>
      </w:pPr>
      <w:r w:rsidRPr="00E61E29">
        <w:rPr>
          <w:rFonts w:eastAsiaTheme="minorHAnsi"/>
          <w:szCs w:val="20"/>
        </w:rPr>
        <w:t>T</w:t>
      </w:r>
      <w:r w:rsidR="003576C6" w:rsidRPr="00E61E29">
        <w:rPr>
          <w:rFonts w:eastAsiaTheme="minorHAnsi"/>
          <w:szCs w:val="20"/>
        </w:rPr>
        <w:t xml:space="preserve">here were 2 cases of </w:t>
      </w:r>
      <w:proofErr w:type="gramStart"/>
      <w:r w:rsidR="003576C6" w:rsidRPr="00E61E29">
        <w:rPr>
          <w:rFonts w:eastAsiaTheme="minorHAnsi"/>
          <w:szCs w:val="20"/>
        </w:rPr>
        <w:t>E.coli</w:t>
      </w:r>
      <w:proofErr w:type="gramEnd"/>
      <w:r w:rsidR="003576C6" w:rsidRPr="00E61E29">
        <w:rPr>
          <w:rFonts w:eastAsiaTheme="minorHAnsi"/>
          <w:szCs w:val="20"/>
        </w:rPr>
        <w:t xml:space="preserve"> bloodstream infections against an objective of 1</w:t>
      </w:r>
      <w:r w:rsidR="00AE7750" w:rsidRPr="00E61E29">
        <w:rPr>
          <w:rFonts w:eastAsiaTheme="minorHAnsi"/>
          <w:szCs w:val="20"/>
        </w:rPr>
        <w:t xml:space="preserve">, which is a reduction of 1 case from the previous year.    </w:t>
      </w:r>
      <w:r w:rsidR="003576C6" w:rsidRPr="00E61E29">
        <w:rPr>
          <w:rFonts w:eastAsiaTheme="minorHAnsi"/>
          <w:szCs w:val="20"/>
        </w:rPr>
        <w:t xml:space="preserve">  </w:t>
      </w:r>
    </w:p>
    <w:p w14:paraId="272DF1E8" w14:textId="77777777" w:rsidR="003576C6" w:rsidRPr="00E61E29" w:rsidRDefault="003576C6" w:rsidP="003576C6">
      <w:pPr>
        <w:pStyle w:val="Table-text"/>
        <w:rPr>
          <w:rFonts w:eastAsiaTheme="minorHAnsi"/>
          <w:szCs w:val="20"/>
        </w:rPr>
      </w:pPr>
    </w:p>
    <w:p w14:paraId="0588C522" w14:textId="51949234" w:rsidR="00AE7750" w:rsidRPr="00E61E29" w:rsidRDefault="003576C6" w:rsidP="003576C6">
      <w:pPr>
        <w:pStyle w:val="Table-text"/>
        <w:rPr>
          <w:rFonts w:eastAsiaTheme="minorHAnsi"/>
          <w:szCs w:val="20"/>
        </w:rPr>
      </w:pPr>
      <w:r w:rsidRPr="00E61E29">
        <w:rPr>
          <w:rFonts w:eastAsiaTheme="minorHAnsi"/>
          <w:szCs w:val="20"/>
        </w:rPr>
        <w:t xml:space="preserve">Post-infection review meetings were undertaken for </w:t>
      </w:r>
      <w:r w:rsidR="00AE7750" w:rsidRPr="00E61E29">
        <w:rPr>
          <w:rFonts w:eastAsiaTheme="minorHAnsi"/>
          <w:szCs w:val="20"/>
        </w:rPr>
        <w:t>both infections with no identified cause found.  The post</w:t>
      </w:r>
      <w:r w:rsidR="00D257BF" w:rsidRPr="00E61E29">
        <w:rPr>
          <w:rFonts w:eastAsiaTheme="minorHAnsi"/>
          <w:szCs w:val="20"/>
        </w:rPr>
        <w:t>-</w:t>
      </w:r>
      <w:r w:rsidR="00AE7750" w:rsidRPr="00E61E29">
        <w:rPr>
          <w:rFonts w:eastAsiaTheme="minorHAnsi"/>
          <w:szCs w:val="20"/>
        </w:rPr>
        <w:t>infection review provided opportunity to celebrate good practice around t</w:t>
      </w:r>
      <w:r w:rsidR="00864796" w:rsidRPr="00E61E29">
        <w:rPr>
          <w:rFonts w:eastAsiaTheme="minorHAnsi"/>
          <w:szCs w:val="20"/>
        </w:rPr>
        <w:t xml:space="preserve">he documentation </w:t>
      </w:r>
      <w:r w:rsidR="00AE7750" w:rsidRPr="00E61E29">
        <w:rPr>
          <w:rFonts w:eastAsiaTheme="minorHAnsi"/>
          <w:szCs w:val="20"/>
        </w:rPr>
        <w:t xml:space="preserve">of catheters, </w:t>
      </w:r>
      <w:proofErr w:type="gramStart"/>
      <w:r w:rsidR="00AE7750" w:rsidRPr="00E61E29">
        <w:rPr>
          <w:rFonts w:eastAsiaTheme="minorHAnsi"/>
          <w:szCs w:val="20"/>
        </w:rPr>
        <w:t>however</w:t>
      </w:r>
      <w:proofErr w:type="gramEnd"/>
      <w:r w:rsidR="00AE7750" w:rsidRPr="00E61E29">
        <w:rPr>
          <w:rFonts w:eastAsiaTheme="minorHAnsi"/>
          <w:szCs w:val="20"/>
        </w:rPr>
        <w:t xml:space="preserve"> acknowledge that as a Trust we could do more to monitor the ongoing care of invasive devices.  The Trust is involved with </w:t>
      </w:r>
      <w:proofErr w:type="gramStart"/>
      <w:r w:rsidR="00AE7750" w:rsidRPr="00E61E29">
        <w:rPr>
          <w:rFonts w:eastAsiaTheme="minorHAnsi"/>
          <w:szCs w:val="20"/>
        </w:rPr>
        <w:t>a number of</w:t>
      </w:r>
      <w:proofErr w:type="gramEnd"/>
      <w:r w:rsidR="00AE7750" w:rsidRPr="00E61E29">
        <w:rPr>
          <w:rFonts w:eastAsiaTheme="minorHAnsi"/>
          <w:szCs w:val="20"/>
        </w:rPr>
        <w:t xml:space="preserve"> regional collaboratives for the prevention of infection and moving into next year will be working together with the Integrated Care System to </w:t>
      </w:r>
      <w:r w:rsidR="00864796" w:rsidRPr="00E61E29">
        <w:rPr>
          <w:rFonts w:eastAsiaTheme="minorHAnsi"/>
          <w:szCs w:val="20"/>
        </w:rPr>
        <w:t xml:space="preserve">work on quality improvements around catheter care.  </w:t>
      </w:r>
      <w:r w:rsidR="00AE7750" w:rsidRPr="00E61E29">
        <w:rPr>
          <w:rFonts w:eastAsiaTheme="minorHAnsi"/>
          <w:szCs w:val="20"/>
        </w:rPr>
        <w:t xml:space="preserve">  </w:t>
      </w:r>
    </w:p>
    <w:p w14:paraId="628D57B1" w14:textId="77777777" w:rsidR="00AE7750" w:rsidRPr="00E61E29" w:rsidRDefault="00AE7750" w:rsidP="003576C6">
      <w:pPr>
        <w:pStyle w:val="Table-text"/>
        <w:rPr>
          <w:rFonts w:eastAsiaTheme="minorHAnsi"/>
          <w:szCs w:val="20"/>
        </w:rPr>
      </w:pPr>
    </w:p>
    <w:p w14:paraId="28A61EC2" w14:textId="28390635" w:rsidR="003576C6" w:rsidRPr="00E61E29" w:rsidRDefault="00864796" w:rsidP="003576C6">
      <w:pPr>
        <w:pStyle w:val="Table-text"/>
        <w:rPr>
          <w:rFonts w:eastAsiaTheme="minorHAnsi"/>
          <w:szCs w:val="20"/>
        </w:rPr>
      </w:pPr>
      <w:r w:rsidRPr="00E61E29">
        <w:rPr>
          <w:rFonts w:eastAsiaTheme="minorHAnsi"/>
          <w:szCs w:val="20"/>
        </w:rPr>
        <w:t xml:space="preserve">Post-infection reviews are summarised into an </w:t>
      </w:r>
      <w:proofErr w:type="gramStart"/>
      <w:r w:rsidRPr="00E61E29">
        <w:rPr>
          <w:rFonts w:eastAsiaTheme="minorHAnsi"/>
          <w:szCs w:val="20"/>
        </w:rPr>
        <w:t>After Action</w:t>
      </w:r>
      <w:proofErr w:type="gramEnd"/>
      <w:r w:rsidRPr="00E61E29">
        <w:rPr>
          <w:rFonts w:eastAsiaTheme="minorHAnsi"/>
          <w:szCs w:val="20"/>
        </w:rPr>
        <w:t xml:space="preserve"> Review poster so that learning can be shared to the wider teams.</w:t>
      </w:r>
    </w:p>
    <w:p w14:paraId="79A531AC" w14:textId="516F83A7" w:rsidR="00464988" w:rsidRPr="00E61E29" w:rsidRDefault="00464988" w:rsidP="00C973B2">
      <w:pPr>
        <w:pStyle w:val="NoSpacing"/>
        <w:rPr>
          <w:sz w:val="20"/>
          <w:szCs w:val="20"/>
        </w:rPr>
      </w:pPr>
    </w:p>
    <w:p w14:paraId="2A0B4A61" w14:textId="77777777" w:rsidR="003576C6" w:rsidRPr="000A663B" w:rsidRDefault="003576C6" w:rsidP="003576C6">
      <w:pPr>
        <w:pStyle w:val="Table-text"/>
        <w:rPr>
          <w:rFonts w:eastAsiaTheme="minorHAnsi"/>
          <w:sz w:val="22"/>
          <w:u w:val="single"/>
        </w:rPr>
      </w:pPr>
      <w:r w:rsidRPr="000A663B">
        <w:rPr>
          <w:rFonts w:eastAsiaTheme="minorHAnsi"/>
          <w:sz w:val="22"/>
          <w:u w:val="single"/>
        </w:rPr>
        <w:t xml:space="preserve">Klebsiella </w:t>
      </w:r>
      <w:proofErr w:type="spellStart"/>
      <w:r w:rsidRPr="000A663B">
        <w:rPr>
          <w:rFonts w:eastAsiaTheme="minorHAnsi"/>
          <w:sz w:val="22"/>
          <w:u w:val="single"/>
        </w:rPr>
        <w:t>spp</w:t>
      </w:r>
      <w:proofErr w:type="spellEnd"/>
      <w:r w:rsidRPr="000A663B">
        <w:rPr>
          <w:rFonts w:eastAsiaTheme="minorHAnsi"/>
          <w:sz w:val="22"/>
          <w:u w:val="single"/>
        </w:rPr>
        <w:t xml:space="preserve"> </w:t>
      </w:r>
    </w:p>
    <w:p w14:paraId="4222AF29" w14:textId="69A94520" w:rsidR="008F490F" w:rsidRPr="00E61E29" w:rsidRDefault="00D257BF" w:rsidP="003576C6">
      <w:pPr>
        <w:pStyle w:val="Table-text"/>
        <w:rPr>
          <w:rFonts w:eastAsiaTheme="minorHAnsi"/>
          <w:szCs w:val="20"/>
        </w:rPr>
      </w:pPr>
      <w:r w:rsidRPr="00E61E29">
        <w:rPr>
          <w:rFonts w:eastAsiaTheme="minorHAnsi"/>
          <w:szCs w:val="20"/>
        </w:rPr>
        <w:t xml:space="preserve">There were 3 cases of </w:t>
      </w:r>
      <w:r w:rsidR="00EF7447" w:rsidRPr="00E61E29">
        <w:rPr>
          <w:rFonts w:eastAsiaTheme="minorHAnsi"/>
          <w:szCs w:val="20"/>
        </w:rPr>
        <w:t xml:space="preserve">Klebsiella bloodstream infections against an objective of 2, </w:t>
      </w:r>
      <w:r w:rsidR="000A663B" w:rsidRPr="00E61E29">
        <w:rPr>
          <w:rFonts w:eastAsiaTheme="minorHAnsi"/>
          <w:szCs w:val="20"/>
        </w:rPr>
        <w:t xml:space="preserve">resulting </w:t>
      </w:r>
      <w:proofErr w:type="spellStart"/>
      <w:proofErr w:type="gramStart"/>
      <w:r w:rsidR="000A663B" w:rsidRPr="00E61E29">
        <w:rPr>
          <w:rFonts w:eastAsiaTheme="minorHAnsi"/>
          <w:szCs w:val="20"/>
        </w:rPr>
        <w:t>ina</w:t>
      </w:r>
      <w:proofErr w:type="spellEnd"/>
      <w:r w:rsidR="000A663B" w:rsidRPr="00E61E29">
        <w:rPr>
          <w:rFonts w:eastAsiaTheme="minorHAnsi"/>
          <w:szCs w:val="20"/>
        </w:rPr>
        <w:t xml:space="preserve">  breach</w:t>
      </w:r>
      <w:proofErr w:type="gramEnd"/>
      <w:r w:rsidR="000A663B" w:rsidRPr="00E61E29">
        <w:rPr>
          <w:rFonts w:eastAsiaTheme="minorHAnsi"/>
          <w:szCs w:val="20"/>
        </w:rPr>
        <w:t xml:space="preserve"> of </w:t>
      </w:r>
      <w:r w:rsidR="00EF7447" w:rsidRPr="00E61E29">
        <w:rPr>
          <w:rFonts w:eastAsiaTheme="minorHAnsi"/>
          <w:szCs w:val="20"/>
        </w:rPr>
        <w:t xml:space="preserve"> our nationally set objective by 1. This is an increase by 2 cases compared to last year, which reflects the national picture.  Whilst these seem like small numbers, we have continued to work towards finding ways to improve the care of invasive devices, particularly around the documentation of the Visual</w:t>
      </w:r>
      <w:r w:rsidR="00E063AB" w:rsidRPr="00E61E29">
        <w:rPr>
          <w:rFonts w:eastAsiaTheme="minorHAnsi"/>
          <w:szCs w:val="20"/>
        </w:rPr>
        <w:t xml:space="preserve"> Infusion</w:t>
      </w:r>
      <w:r w:rsidR="00EF7447" w:rsidRPr="00E61E29">
        <w:rPr>
          <w:rFonts w:eastAsiaTheme="minorHAnsi"/>
          <w:szCs w:val="20"/>
        </w:rPr>
        <w:t xml:space="preserve"> Phlebitis</w:t>
      </w:r>
      <w:r w:rsidR="00E063AB" w:rsidRPr="00E61E29">
        <w:rPr>
          <w:rFonts w:eastAsiaTheme="minorHAnsi"/>
          <w:szCs w:val="20"/>
        </w:rPr>
        <w:t xml:space="preserve"> (VIP)</w:t>
      </w:r>
      <w:r w:rsidR="00EF7447" w:rsidRPr="00E61E29">
        <w:rPr>
          <w:rFonts w:eastAsiaTheme="minorHAnsi"/>
          <w:szCs w:val="20"/>
        </w:rPr>
        <w:t xml:space="preserve"> </w:t>
      </w:r>
      <w:r w:rsidR="00E063AB" w:rsidRPr="00E61E29">
        <w:rPr>
          <w:rFonts w:eastAsiaTheme="minorHAnsi"/>
          <w:szCs w:val="20"/>
        </w:rPr>
        <w:t>s</w:t>
      </w:r>
      <w:r w:rsidR="00EF7447" w:rsidRPr="00E61E29">
        <w:rPr>
          <w:rFonts w:eastAsiaTheme="minorHAnsi"/>
          <w:szCs w:val="20"/>
        </w:rPr>
        <w:t>core, as this has been a common theme</w:t>
      </w:r>
      <w:r w:rsidR="00D0495E" w:rsidRPr="00E61E29">
        <w:rPr>
          <w:rFonts w:eastAsiaTheme="minorHAnsi"/>
          <w:szCs w:val="20"/>
        </w:rPr>
        <w:t xml:space="preserve"> of non-compliance</w:t>
      </w:r>
      <w:r w:rsidR="00EF7447" w:rsidRPr="00E61E29">
        <w:rPr>
          <w:rFonts w:eastAsiaTheme="minorHAnsi"/>
          <w:szCs w:val="20"/>
        </w:rPr>
        <w:t xml:space="preserve"> during the post-infection review process.</w:t>
      </w:r>
      <w:r w:rsidR="00E063AB" w:rsidRPr="00E61E29">
        <w:rPr>
          <w:rFonts w:eastAsiaTheme="minorHAnsi"/>
          <w:szCs w:val="20"/>
        </w:rPr>
        <w:t xml:space="preserve">  The Trust </w:t>
      </w:r>
      <w:r w:rsidR="00D0495E" w:rsidRPr="00E61E29">
        <w:rPr>
          <w:rFonts w:eastAsiaTheme="minorHAnsi"/>
          <w:szCs w:val="20"/>
        </w:rPr>
        <w:t xml:space="preserve">is </w:t>
      </w:r>
      <w:r w:rsidR="00E063AB" w:rsidRPr="00E61E29">
        <w:rPr>
          <w:rFonts w:eastAsiaTheme="minorHAnsi"/>
          <w:szCs w:val="20"/>
        </w:rPr>
        <w:t xml:space="preserve">working towards including </w:t>
      </w:r>
      <w:r w:rsidR="00342348" w:rsidRPr="00E61E29">
        <w:rPr>
          <w:rFonts w:eastAsiaTheme="minorHAnsi"/>
          <w:szCs w:val="20"/>
        </w:rPr>
        <w:t>VIP scoring into the current system used to record patient observations (</w:t>
      </w:r>
      <w:proofErr w:type="spellStart"/>
      <w:r w:rsidR="00342348" w:rsidRPr="00E61E29">
        <w:rPr>
          <w:rFonts w:eastAsiaTheme="minorHAnsi"/>
          <w:szCs w:val="20"/>
        </w:rPr>
        <w:t>VitalPac</w:t>
      </w:r>
      <w:proofErr w:type="spellEnd"/>
      <w:r w:rsidR="00342348" w:rsidRPr="00E61E29">
        <w:rPr>
          <w:rFonts w:eastAsiaTheme="minorHAnsi"/>
          <w:szCs w:val="20"/>
        </w:rPr>
        <w:t xml:space="preserve">), with a view to this being implemented </w:t>
      </w:r>
      <w:r w:rsidR="008F490F" w:rsidRPr="00E61E29">
        <w:rPr>
          <w:rFonts w:eastAsiaTheme="minorHAnsi"/>
          <w:szCs w:val="20"/>
        </w:rPr>
        <w:t xml:space="preserve">in June 2023.  </w:t>
      </w:r>
    </w:p>
    <w:p w14:paraId="5E42932C" w14:textId="77777777" w:rsidR="008F490F" w:rsidRPr="00E61E29" w:rsidRDefault="008F490F" w:rsidP="003576C6">
      <w:pPr>
        <w:pStyle w:val="Table-text"/>
        <w:rPr>
          <w:rFonts w:eastAsiaTheme="minorHAnsi"/>
          <w:szCs w:val="20"/>
        </w:rPr>
      </w:pPr>
    </w:p>
    <w:p w14:paraId="1361DFDF" w14:textId="245570EB" w:rsidR="003576C6" w:rsidRPr="00E61E29" w:rsidRDefault="008F490F" w:rsidP="003576C6">
      <w:pPr>
        <w:pStyle w:val="Table-text"/>
        <w:rPr>
          <w:rFonts w:eastAsiaTheme="minorHAnsi"/>
          <w:szCs w:val="20"/>
        </w:rPr>
      </w:pPr>
      <w:r w:rsidRPr="00E61E29">
        <w:rPr>
          <w:rFonts w:eastAsiaTheme="minorHAnsi"/>
          <w:szCs w:val="20"/>
        </w:rPr>
        <w:t xml:space="preserve">The IPC team have also re-launched the use of the High Impact Interventions toolkit which is a </w:t>
      </w:r>
      <w:proofErr w:type="gramStart"/>
      <w:r w:rsidRPr="00E61E29">
        <w:rPr>
          <w:rFonts w:eastAsiaTheme="minorHAnsi"/>
          <w:szCs w:val="20"/>
        </w:rPr>
        <w:t>peer to peer</w:t>
      </w:r>
      <w:proofErr w:type="gramEnd"/>
      <w:r w:rsidRPr="00E61E29">
        <w:rPr>
          <w:rFonts w:eastAsiaTheme="minorHAnsi"/>
          <w:szCs w:val="20"/>
        </w:rPr>
        <w:t xml:space="preserve"> observation tool used to promote best practice standards, and are working with the clinical teams to </w:t>
      </w:r>
      <w:proofErr w:type="spellStart"/>
      <w:r w:rsidRPr="00E61E29">
        <w:rPr>
          <w:rFonts w:eastAsiaTheme="minorHAnsi"/>
          <w:szCs w:val="20"/>
        </w:rPr>
        <w:t>to</w:t>
      </w:r>
      <w:proofErr w:type="spellEnd"/>
      <w:r w:rsidRPr="00E61E29">
        <w:rPr>
          <w:rFonts w:eastAsiaTheme="minorHAnsi"/>
          <w:szCs w:val="20"/>
        </w:rPr>
        <w:t xml:space="preserve"> provide a more proactive approach to infection prevention.</w:t>
      </w:r>
      <w:r w:rsidR="00EF7447" w:rsidRPr="00E61E29">
        <w:rPr>
          <w:rFonts w:eastAsiaTheme="minorHAnsi"/>
          <w:szCs w:val="20"/>
        </w:rPr>
        <w:t xml:space="preserve">  </w:t>
      </w:r>
    </w:p>
    <w:p w14:paraId="2CD62BD4" w14:textId="77777777" w:rsidR="003576C6" w:rsidRPr="00E61E29" w:rsidRDefault="003576C6" w:rsidP="003576C6">
      <w:pPr>
        <w:pStyle w:val="Table-text"/>
        <w:rPr>
          <w:rFonts w:eastAsiaTheme="minorHAnsi"/>
          <w:sz w:val="18"/>
          <w:szCs w:val="18"/>
        </w:rPr>
      </w:pPr>
    </w:p>
    <w:p w14:paraId="2F5C383D" w14:textId="77777777" w:rsidR="003576C6" w:rsidRPr="00E61E29" w:rsidRDefault="003576C6" w:rsidP="003576C6">
      <w:pPr>
        <w:pStyle w:val="Table-text"/>
        <w:rPr>
          <w:rFonts w:eastAsiaTheme="minorHAnsi"/>
          <w:sz w:val="18"/>
          <w:szCs w:val="18"/>
        </w:rPr>
      </w:pPr>
    </w:p>
    <w:p w14:paraId="7FE635ED" w14:textId="00207392" w:rsidR="003576C6" w:rsidRPr="000A663B" w:rsidRDefault="003576C6" w:rsidP="003576C6">
      <w:pPr>
        <w:pStyle w:val="Table-text"/>
        <w:rPr>
          <w:rFonts w:eastAsiaTheme="minorHAnsi"/>
          <w:sz w:val="22"/>
          <w:u w:val="single"/>
        </w:rPr>
      </w:pPr>
      <w:r w:rsidRPr="000A663B">
        <w:rPr>
          <w:rFonts w:eastAsiaTheme="minorHAnsi"/>
          <w:sz w:val="22"/>
          <w:u w:val="single"/>
        </w:rPr>
        <w:t>Pseudomonas aeruginosa</w:t>
      </w:r>
    </w:p>
    <w:p w14:paraId="07F40568" w14:textId="5EBFC23D" w:rsidR="00221A24" w:rsidRPr="00E61E29" w:rsidRDefault="006D445D" w:rsidP="00B10A9D">
      <w:pPr>
        <w:pStyle w:val="Table-text"/>
        <w:rPr>
          <w:rFonts w:eastAsiaTheme="minorHAnsi"/>
          <w:szCs w:val="20"/>
        </w:rPr>
      </w:pPr>
      <w:proofErr w:type="spellStart"/>
      <w:r w:rsidRPr="00E61E29">
        <w:rPr>
          <w:rFonts w:eastAsiaTheme="minorHAnsi"/>
          <w:szCs w:val="20"/>
        </w:rPr>
        <w:t>Psuedomanoas</w:t>
      </w:r>
      <w:proofErr w:type="spellEnd"/>
      <w:r w:rsidRPr="00E61E29">
        <w:rPr>
          <w:rFonts w:eastAsiaTheme="minorHAnsi"/>
          <w:szCs w:val="20"/>
        </w:rPr>
        <w:t xml:space="preserve"> aeruginosa and Klebsiella species bloodstream infections have been reportable since April 2018.</w:t>
      </w:r>
      <w:r w:rsidR="00464988" w:rsidRPr="00E61E29">
        <w:rPr>
          <w:rFonts w:eastAsiaTheme="minorHAnsi"/>
          <w:szCs w:val="20"/>
        </w:rPr>
        <w:t xml:space="preserve"> </w:t>
      </w:r>
      <w:r w:rsidR="000A663B" w:rsidRPr="00E61E29">
        <w:rPr>
          <w:rFonts w:eastAsiaTheme="minorHAnsi"/>
          <w:szCs w:val="20"/>
        </w:rPr>
        <w:t xml:space="preserve">The Trust reported 1 case of pseudomonas bloodstream infection which through completion of a post infection review was deemed unavoidable. </w:t>
      </w:r>
    </w:p>
    <w:p w14:paraId="74E351D3" w14:textId="77777777" w:rsidR="00124CB2" w:rsidRPr="00173B15" w:rsidRDefault="00124CB2" w:rsidP="00667314">
      <w:pPr>
        <w:spacing w:before="0" w:after="200" w:line="276" w:lineRule="auto"/>
        <w:rPr>
          <w:rFonts w:eastAsiaTheme="minorHAnsi" w:cs="Arial"/>
          <w:b/>
          <w:color w:val="4F81BD" w:themeColor="accent1"/>
          <w:sz w:val="22"/>
          <w:szCs w:val="24"/>
          <w:u w:val="single"/>
        </w:rPr>
      </w:pPr>
    </w:p>
    <w:p w14:paraId="5E9F4AD8" w14:textId="78E1903E" w:rsidR="00A80CEA" w:rsidRPr="00284DE7" w:rsidRDefault="00667314" w:rsidP="00667314">
      <w:pPr>
        <w:spacing w:before="0" w:after="200" w:line="276" w:lineRule="auto"/>
        <w:rPr>
          <w:rFonts w:eastAsiaTheme="minorHAnsi" w:cs="Arial"/>
          <w:bCs/>
          <w:sz w:val="22"/>
          <w:szCs w:val="24"/>
          <w:u w:val="single"/>
        </w:rPr>
      </w:pPr>
      <w:proofErr w:type="spellStart"/>
      <w:r w:rsidRPr="00284DE7">
        <w:rPr>
          <w:rFonts w:eastAsiaTheme="minorHAnsi" w:cs="Arial"/>
          <w:bCs/>
          <w:sz w:val="22"/>
          <w:szCs w:val="24"/>
          <w:u w:val="single"/>
        </w:rPr>
        <w:t>Clostridi</w:t>
      </w:r>
      <w:r w:rsidR="00A80CEA" w:rsidRPr="00284DE7">
        <w:rPr>
          <w:rFonts w:eastAsiaTheme="minorHAnsi" w:cs="Arial"/>
          <w:bCs/>
          <w:sz w:val="22"/>
          <w:szCs w:val="24"/>
          <w:u w:val="single"/>
        </w:rPr>
        <w:t>odies</w:t>
      </w:r>
      <w:proofErr w:type="spellEnd"/>
      <w:r w:rsidRPr="00284DE7">
        <w:rPr>
          <w:rFonts w:eastAsiaTheme="minorHAnsi" w:cs="Arial"/>
          <w:bCs/>
          <w:sz w:val="22"/>
          <w:szCs w:val="24"/>
          <w:u w:val="single"/>
        </w:rPr>
        <w:t xml:space="preserve"> Difficile </w:t>
      </w:r>
    </w:p>
    <w:p w14:paraId="4E439AF2" w14:textId="7704AB9B" w:rsidR="00A80CEA" w:rsidRPr="00E61E29" w:rsidRDefault="00A80CEA" w:rsidP="00667314">
      <w:pPr>
        <w:spacing w:before="0" w:after="200" w:line="276" w:lineRule="auto"/>
        <w:rPr>
          <w:rFonts w:eastAsiaTheme="minorHAnsi" w:cs="Arial"/>
          <w:bCs/>
          <w:sz w:val="20"/>
        </w:rPr>
      </w:pPr>
      <w:proofErr w:type="spellStart"/>
      <w:r w:rsidRPr="00E61E29">
        <w:rPr>
          <w:rFonts w:eastAsiaTheme="minorHAnsi" w:cs="Arial"/>
          <w:bCs/>
          <w:sz w:val="20"/>
        </w:rPr>
        <w:t>Clostridiodies</w:t>
      </w:r>
      <w:proofErr w:type="spellEnd"/>
      <w:r w:rsidRPr="00E61E29">
        <w:rPr>
          <w:rFonts w:eastAsiaTheme="minorHAnsi" w:cs="Arial"/>
          <w:bCs/>
          <w:sz w:val="20"/>
        </w:rPr>
        <w:t xml:space="preserve"> difficile (</w:t>
      </w:r>
      <w:proofErr w:type="spellStart"/>
      <w:proofErr w:type="gramStart"/>
      <w:r w:rsidRPr="00E61E29">
        <w:rPr>
          <w:rFonts w:eastAsiaTheme="minorHAnsi" w:cs="Arial"/>
          <w:bCs/>
          <w:sz w:val="20"/>
        </w:rPr>
        <w:t>C.</w:t>
      </w:r>
      <w:r w:rsidRPr="00E61E29">
        <w:rPr>
          <w:rFonts w:eastAsiaTheme="minorHAnsi" w:cs="Arial"/>
          <w:bCs/>
          <w:i/>
          <w:iCs/>
          <w:sz w:val="20"/>
        </w:rPr>
        <w:t>difficile</w:t>
      </w:r>
      <w:proofErr w:type="spellEnd"/>
      <w:proofErr w:type="gramEnd"/>
      <w:r w:rsidRPr="00E61E29">
        <w:rPr>
          <w:rFonts w:eastAsiaTheme="minorHAnsi" w:cs="Arial"/>
          <w:bCs/>
          <w:sz w:val="20"/>
        </w:rPr>
        <w:t xml:space="preserve">) is a bacterium found in the gut which can cause diarrhoea </w:t>
      </w:r>
      <w:proofErr w:type="spellStart"/>
      <w:r w:rsidRPr="00E61E29">
        <w:rPr>
          <w:rFonts w:eastAsiaTheme="minorHAnsi" w:cs="Arial"/>
          <w:bCs/>
          <w:sz w:val="20"/>
        </w:rPr>
        <w:t>afer</w:t>
      </w:r>
      <w:proofErr w:type="spellEnd"/>
      <w:r w:rsidRPr="00E61E29">
        <w:rPr>
          <w:rFonts w:eastAsiaTheme="minorHAnsi" w:cs="Arial"/>
          <w:bCs/>
          <w:sz w:val="20"/>
        </w:rPr>
        <w:t xml:space="preserve"> antibiotics.  It can rarely cause a severe and life-threatening inflammation of the gut call pseudomembranous colitis.  It forms resistant spores which require very effective cleaning and disinfection to remove them from the environment.  </w:t>
      </w:r>
    </w:p>
    <w:p w14:paraId="3DA4B944" w14:textId="5BC3FEF3" w:rsidR="00D80E40" w:rsidRPr="00E61E29" w:rsidRDefault="00A80CEA" w:rsidP="00322750">
      <w:pPr>
        <w:rPr>
          <w:rFonts w:cs="Arial"/>
          <w:bCs/>
          <w:sz w:val="20"/>
          <w:szCs w:val="20"/>
        </w:rPr>
      </w:pPr>
      <w:r w:rsidRPr="00E61E29">
        <w:rPr>
          <w:rFonts w:cs="Arial"/>
          <w:bCs/>
          <w:sz w:val="20"/>
          <w:szCs w:val="20"/>
        </w:rPr>
        <w:t>This year</w:t>
      </w:r>
      <w:r w:rsidR="009B4266" w:rsidRPr="00E61E29">
        <w:rPr>
          <w:rFonts w:cs="Arial"/>
          <w:bCs/>
          <w:sz w:val="20"/>
          <w:szCs w:val="20"/>
        </w:rPr>
        <w:t xml:space="preserve"> </w:t>
      </w:r>
      <w:r w:rsidRPr="00E61E29">
        <w:rPr>
          <w:rFonts w:cs="Arial"/>
          <w:bCs/>
          <w:sz w:val="20"/>
          <w:szCs w:val="20"/>
        </w:rPr>
        <w:t xml:space="preserve">we reported </w:t>
      </w:r>
      <w:r w:rsidR="009B4266" w:rsidRPr="00E61E29">
        <w:rPr>
          <w:rFonts w:cs="Arial"/>
          <w:bCs/>
          <w:sz w:val="20"/>
          <w:szCs w:val="20"/>
        </w:rPr>
        <w:t xml:space="preserve">3 RJAH acquired cases of </w:t>
      </w:r>
      <w:proofErr w:type="spellStart"/>
      <w:proofErr w:type="gramStart"/>
      <w:r w:rsidR="009B4266" w:rsidRPr="00E61E29">
        <w:rPr>
          <w:rFonts w:cs="Arial"/>
          <w:bCs/>
          <w:sz w:val="20"/>
          <w:szCs w:val="20"/>
        </w:rPr>
        <w:t>C.</w:t>
      </w:r>
      <w:r w:rsidR="009B4266" w:rsidRPr="00E61E29">
        <w:rPr>
          <w:rFonts w:cs="Arial"/>
          <w:bCs/>
          <w:i/>
          <w:iCs/>
          <w:sz w:val="20"/>
          <w:szCs w:val="20"/>
        </w:rPr>
        <w:t>difficle</w:t>
      </w:r>
      <w:proofErr w:type="spellEnd"/>
      <w:proofErr w:type="gramEnd"/>
      <w:r w:rsidR="009B4266" w:rsidRPr="00E61E29">
        <w:rPr>
          <w:rFonts w:cs="Arial"/>
          <w:bCs/>
          <w:sz w:val="20"/>
          <w:szCs w:val="20"/>
        </w:rPr>
        <w:t xml:space="preserve"> infection against an objective of </w:t>
      </w:r>
      <w:r w:rsidR="00322750" w:rsidRPr="00E61E29">
        <w:rPr>
          <w:rFonts w:cs="Arial"/>
          <w:bCs/>
          <w:sz w:val="20"/>
          <w:szCs w:val="20"/>
        </w:rPr>
        <w:t>2</w:t>
      </w:r>
      <w:r w:rsidR="009B4266" w:rsidRPr="00E61E29">
        <w:rPr>
          <w:rFonts w:cs="Arial"/>
          <w:bCs/>
          <w:sz w:val="20"/>
          <w:szCs w:val="20"/>
        </w:rPr>
        <w:t>.</w:t>
      </w:r>
      <w:r w:rsidR="00D80E40" w:rsidRPr="00E61E29">
        <w:rPr>
          <w:rFonts w:cs="Arial"/>
          <w:bCs/>
          <w:sz w:val="20"/>
          <w:szCs w:val="20"/>
        </w:rPr>
        <w:t xml:space="preserve">  2 out of the 3 cases were on the same patient who had a relapse of symptoms</w:t>
      </w:r>
      <w:r w:rsidRPr="00E61E29">
        <w:rPr>
          <w:rFonts w:cs="Arial"/>
          <w:bCs/>
          <w:sz w:val="20"/>
          <w:szCs w:val="20"/>
        </w:rPr>
        <w:t xml:space="preserve">.  The Trust continues to review all cases through a post-infection review process; </w:t>
      </w:r>
      <w:r w:rsidR="00D80E40" w:rsidRPr="00E61E29">
        <w:rPr>
          <w:rFonts w:cs="Arial"/>
          <w:bCs/>
          <w:sz w:val="20"/>
          <w:szCs w:val="20"/>
        </w:rPr>
        <w:t>to establish areas of good practice,</w:t>
      </w:r>
      <w:r w:rsidRPr="00E61E29">
        <w:rPr>
          <w:rFonts w:cs="Arial"/>
          <w:bCs/>
          <w:sz w:val="20"/>
          <w:szCs w:val="20"/>
        </w:rPr>
        <w:t xml:space="preserve"> lapses in care</w:t>
      </w:r>
      <w:r w:rsidR="00D80E40" w:rsidRPr="00E61E29">
        <w:rPr>
          <w:rFonts w:cs="Arial"/>
          <w:bCs/>
          <w:sz w:val="20"/>
          <w:szCs w:val="20"/>
        </w:rPr>
        <w:t xml:space="preserve"> </w:t>
      </w:r>
      <w:proofErr w:type="gramStart"/>
      <w:r w:rsidR="00D80E40" w:rsidRPr="00E61E29">
        <w:rPr>
          <w:rFonts w:cs="Arial"/>
          <w:bCs/>
          <w:sz w:val="20"/>
          <w:szCs w:val="20"/>
        </w:rPr>
        <w:t>and also</w:t>
      </w:r>
      <w:proofErr w:type="gramEnd"/>
      <w:r w:rsidRPr="00E61E29">
        <w:rPr>
          <w:rFonts w:cs="Arial"/>
          <w:bCs/>
          <w:sz w:val="20"/>
          <w:szCs w:val="20"/>
        </w:rPr>
        <w:t xml:space="preserve"> identify</w:t>
      </w:r>
      <w:r w:rsidR="00D80E40" w:rsidRPr="00E61E29">
        <w:rPr>
          <w:rFonts w:cs="Arial"/>
          <w:bCs/>
          <w:sz w:val="20"/>
          <w:szCs w:val="20"/>
        </w:rPr>
        <w:t xml:space="preserve"> improvements.  Both cases of CDI were found to have significant risk </w:t>
      </w:r>
      <w:proofErr w:type="gramStart"/>
      <w:r w:rsidR="00D80E40" w:rsidRPr="00E61E29">
        <w:rPr>
          <w:rFonts w:cs="Arial"/>
          <w:bCs/>
          <w:sz w:val="20"/>
          <w:szCs w:val="20"/>
        </w:rPr>
        <w:t>factors;</w:t>
      </w:r>
      <w:proofErr w:type="gramEnd"/>
      <w:r w:rsidR="00D80E40" w:rsidRPr="00E61E29">
        <w:rPr>
          <w:rFonts w:cs="Arial"/>
          <w:bCs/>
          <w:sz w:val="20"/>
          <w:szCs w:val="20"/>
        </w:rPr>
        <w:t xml:space="preserve"> which </w:t>
      </w:r>
      <w:r w:rsidR="00AA6AC3" w:rsidRPr="00E61E29">
        <w:rPr>
          <w:rFonts w:cs="Arial"/>
          <w:bCs/>
          <w:sz w:val="20"/>
          <w:szCs w:val="20"/>
        </w:rPr>
        <w:t>contributed to the infection.  The cases were managed in a timel</w:t>
      </w:r>
      <w:r w:rsidRPr="00E61E29">
        <w:rPr>
          <w:rFonts w:cs="Arial"/>
          <w:bCs/>
          <w:sz w:val="20"/>
          <w:szCs w:val="20"/>
        </w:rPr>
        <w:t>y</w:t>
      </w:r>
      <w:r w:rsidR="00AA6AC3" w:rsidRPr="00E61E29">
        <w:rPr>
          <w:rFonts w:cs="Arial"/>
          <w:bCs/>
          <w:sz w:val="20"/>
          <w:szCs w:val="20"/>
        </w:rPr>
        <w:t xml:space="preserve"> manner, with no evidence of </w:t>
      </w:r>
      <w:r w:rsidRPr="00E61E29">
        <w:rPr>
          <w:rFonts w:cs="Arial"/>
          <w:bCs/>
          <w:sz w:val="20"/>
          <w:szCs w:val="20"/>
        </w:rPr>
        <w:t>cross-infection</w:t>
      </w:r>
      <w:r w:rsidR="00AA6AC3" w:rsidRPr="00E61E29">
        <w:rPr>
          <w:rFonts w:cs="Arial"/>
          <w:bCs/>
          <w:sz w:val="20"/>
          <w:szCs w:val="20"/>
        </w:rPr>
        <w:t xml:space="preserve">.  The IPC fayre in January 2023 </w:t>
      </w:r>
      <w:proofErr w:type="spellStart"/>
      <w:r w:rsidR="00AA6AC3" w:rsidRPr="00E61E29">
        <w:rPr>
          <w:rFonts w:cs="Arial"/>
          <w:bCs/>
          <w:sz w:val="20"/>
          <w:szCs w:val="20"/>
        </w:rPr>
        <w:t>rasied</w:t>
      </w:r>
      <w:proofErr w:type="spellEnd"/>
      <w:r w:rsidR="00AA6AC3" w:rsidRPr="00E61E29">
        <w:rPr>
          <w:rFonts w:cs="Arial"/>
          <w:bCs/>
          <w:sz w:val="20"/>
          <w:szCs w:val="20"/>
        </w:rPr>
        <w:t xml:space="preserve"> awareness to the importance of following enteric precautions for patients with suspected CDI.  The IPC team have since introduced a new bowel chart to aid staff in making decisions around when to send stool samples upon suspecting CDI.  </w:t>
      </w:r>
      <w:r w:rsidR="00D80E40" w:rsidRPr="00E61E29">
        <w:rPr>
          <w:rFonts w:cs="Arial"/>
          <w:bCs/>
          <w:sz w:val="20"/>
          <w:szCs w:val="20"/>
        </w:rPr>
        <w:t xml:space="preserve"> </w:t>
      </w:r>
    </w:p>
    <w:p w14:paraId="75DB8421" w14:textId="30C06B35" w:rsidR="00854287" w:rsidRPr="00AA6AC3" w:rsidRDefault="00A80CEA" w:rsidP="00AA6AC3">
      <w:pPr>
        <w:rPr>
          <w:rFonts w:cs="Arial"/>
          <w:bCs/>
          <w:i/>
          <w:iCs/>
          <w:sz w:val="20"/>
          <w:szCs w:val="20"/>
        </w:rPr>
      </w:pPr>
      <w:r>
        <w:rPr>
          <w:rFonts w:cs="Arial"/>
          <w:bCs/>
          <w:noProof/>
          <w:sz w:val="20"/>
          <w:szCs w:val="20"/>
          <w:highlight w:val="green"/>
        </w:rPr>
        <w:drawing>
          <wp:inline distT="0" distB="0" distL="0" distR="0" wp14:anchorId="60DD96C2" wp14:editId="2FED8DC2">
            <wp:extent cx="5910470" cy="2216426"/>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55" t="1100" r="729" b="992"/>
                    <a:stretch/>
                  </pic:blipFill>
                  <pic:spPr bwMode="auto">
                    <a:xfrm>
                      <a:off x="0" y="0"/>
                      <a:ext cx="5967789" cy="2237921"/>
                    </a:xfrm>
                    <a:prstGeom prst="rect">
                      <a:avLst/>
                    </a:prstGeom>
                    <a:noFill/>
                    <a:ln>
                      <a:noFill/>
                    </a:ln>
                    <a:extLst>
                      <a:ext uri="{53640926-AAD7-44D8-BBD7-CCE9431645EC}">
                        <a14:shadowObscured xmlns:a14="http://schemas.microsoft.com/office/drawing/2010/main"/>
                      </a:ext>
                    </a:extLst>
                  </pic:spPr>
                </pic:pic>
              </a:graphicData>
            </a:graphic>
          </wp:inline>
        </w:drawing>
      </w:r>
      <w:r w:rsidR="000A663B">
        <w:rPr>
          <w:rFonts w:cs="Arial"/>
          <w:bCs/>
          <w:i/>
          <w:iCs/>
          <w:sz w:val="20"/>
          <w:szCs w:val="20"/>
        </w:rPr>
        <w:t xml:space="preserve"> </w:t>
      </w:r>
      <w:r w:rsidR="0054299E">
        <w:rPr>
          <w:rFonts w:cs="Arial"/>
          <w:bCs/>
          <w:i/>
          <w:iCs/>
          <w:sz w:val="20"/>
          <w:szCs w:val="20"/>
        </w:rPr>
        <w:t xml:space="preserve">  </w:t>
      </w:r>
    </w:p>
    <w:p w14:paraId="0A0FC6D9" w14:textId="77777777" w:rsidR="00173B15" w:rsidRDefault="00173B15" w:rsidP="0005316F">
      <w:pPr>
        <w:spacing w:before="0" w:after="200" w:line="276" w:lineRule="auto"/>
        <w:rPr>
          <w:b/>
          <w:sz w:val="22"/>
          <w:u w:val="single"/>
        </w:rPr>
      </w:pPr>
    </w:p>
    <w:p w14:paraId="068F1D7B" w14:textId="6D52518F" w:rsidR="0005316F" w:rsidRPr="00EC0D5C" w:rsidRDefault="00050CFE" w:rsidP="0005316F">
      <w:pPr>
        <w:spacing w:before="0" w:after="200" w:line="276" w:lineRule="auto"/>
        <w:rPr>
          <w:b/>
          <w:sz w:val="22"/>
          <w:u w:val="single"/>
        </w:rPr>
      </w:pPr>
      <w:r w:rsidRPr="00EC0D5C">
        <w:rPr>
          <w:b/>
          <w:sz w:val="22"/>
          <w:u w:val="single"/>
        </w:rPr>
        <w:t xml:space="preserve">Infection Prevention &amp; Control Ward/Department </w:t>
      </w:r>
      <w:r w:rsidR="0005316F" w:rsidRPr="00EC0D5C">
        <w:rPr>
          <w:b/>
          <w:sz w:val="22"/>
          <w:u w:val="single"/>
        </w:rPr>
        <w:t>Audit</w:t>
      </w:r>
      <w:r w:rsidRPr="00EC0D5C">
        <w:rPr>
          <w:b/>
          <w:sz w:val="22"/>
          <w:u w:val="single"/>
        </w:rPr>
        <w:t>s</w:t>
      </w:r>
    </w:p>
    <w:p w14:paraId="0A6CB922" w14:textId="231661AB" w:rsidR="00FE4DCC" w:rsidRPr="00EC0D5C" w:rsidRDefault="0005316F" w:rsidP="00B10A9D">
      <w:pPr>
        <w:pStyle w:val="Table-text"/>
        <w:rPr>
          <w:szCs w:val="20"/>
        </w:rPr>
      </w:pPr>
      <w:r w:rsidRPr="00EC0D5C">
        <w:rPr>
          <w:szCs w:val="20"/>
        </w:rPr>
        <w:t>Wards and departments complete a package of infection prevention and control audits across the year</w:t>
      </w:r>
      <w:r w:rsidR="00510B65">
        <w:rPr>
          <w:szCs w:val="20"/>
        </w:rPr>
        <w:t xml:space="preserve"> </w:t>
      </w:r>
      <w:proofErr w:type="gramStart"/>
      <w:r w:rsidR="00510B65">
        <w:rPr>
          <w:szCs w:val="20"/>
        </w:rPr>
        <w:t>in order to</w:t>
      </w:r>
      <w:proofErr w:type="gramEnd"/>
      <w:r w:rsidR="00510B65">
        <w:rPr>
          <w:szCs w:val="20"/>
        </w:rPr>
        <w:t xml:space="preserve"> show </w:t>
      </w:r>
      <w:proofErr w:type="spellStart"/>
      <w:r w:rsidR="00510B65">
        <w:rPr>
          <w:szCs w:val="20"/>
        </w:rPr>
        <w:t>continouous</w:t>
      </w:r>
      <w:proofErr w:type="spellEnd"/>
      <w:r w:rsidR="00510B65">
        <w:rPr>
          <w:szCs w:val="20"/>
        </w:rPr>
        <w:t xml:space="preserve"> monitoring of standards</w:t>
      </w:r>
      <w:r w:rsidRPr="00EC0D5C">
        <w:rPr>
          <w:szCs w:val="20"/>
        </w:rPr>
        <w:t xml:space="preserve">. </w:t>
      </w:r>
      <w:r w:rsidR="001F0F46" w:rsidRPr="00EC0D5C">
        <w:rPr>
          <w:szCs w:val="20"/>
        </w:rPr>
        <w:t xml:space="preserve">The </w:t>
      </w:r>
      <w:r w:rsidR="00BA391C" w:rsidRPr="00EC0D5C">
        <w:rPr>
          <w:szCs w:val="20"/>
        </w:rPr>
        <w:t>suite</w:t>
      </w:r>
      <w:r w:rsidRPr="00EC0D5C">
        <w:rPr>
          <w:szCs w:val="20"/>
        </w:rPr>
        <w:t xml:space="preserve"> </w:t>
      </w:r>
      <w:r w:rsidR="001F0F46" w:rsidRPr="00EC0D5C">
        <w:rPr>
          <w:szCs w:val="20"/>
        </w:rPr>
        <w:t xml:space="preserve">comprises </w:t>
      </w:r>
      <w:r w:rsidRPr="00EC0D5C">
        <w:rPr>
          <w:szCs w:val="20"/>
        </w:rPr>
        <w:t>of environmental auditing,</w:t>
      </w:r>
      <w:r w:rsidR="00BA391C" w:rsidRPr="00EC0D5C">
        <w:rPr>
          <w:szCs w:val="20"/>
        </w:rPr>
        <w:t xml:space="preserve"> </w:t>
      </w:r>
      <w:r w:rsidR="00EC0D5C" w:rsidRPr="00EC0D5C">
        <w:rPr>
          <w:szCs w:val="20"/>
        </w:rPr>
        <w:t>h</w:t>
      </w:r>
      <w:r w:rsidR="00932156" w:rsidRPr="00EC0D5C">
        <w:rPr>
          <w:szCs w:val="20"/>
        </w:rPr>
        <w:t xml:space="preserve">and </w:t>
      </w:r>
      <w:r w:rsidR="00EC0D5C" w:rsidRPr="00EC0D5C">
        <w:rPr>
          <w:szCs w:val="20"/>
        </w:rPr>
        <w:t>h</w:t>
      </w:r>
      <w:r w:rsidRPr="00EC0D5C">
        <w:rPr>
          <w:szCs w:val="20"/>
        </w:rPr>
        <w:t>ygiene</w:t>
      </w:r>
      <w:r w:rsidR="00BA391C" w:rsidRPr="00EC0D5C">
        <w:rPr>
          <w:szCs w:val="20"/>
        </w:rPr>
        <w:t>,</w:t>
      </w:r>
      <w:r w:rsidR="00EC0D5C" w:rsidRPr="00EC0D5C">
        <w:rPr>
          <w:szCs w:val="20"/>
        </w:rPr>
        <w:t xml:space="preserve"> and</w:t>
      </w:r>
      <w:r w:rsidR="00932156" w:rsidRPr="00EC0D5C">
        <w:rPr>
          <w:szCs w:val="20"/>
        </w:rPr>
        <w:t xml:space="preserve"> </w:t>
      </w:r>
      <w:r w:rsidR="00EC0D5C" w:rsidRPr="00EC0D5C">
        <w:rPr>
          <w:szCs w:val="20"/>
        </w:rPr>
        <w:t>b</w:t>
      </w:r>
      <w:r w:rsidRPr="00EC0D5C">
        <w:rPr>
          <w:szCs w:val="20"/>
        </w:rPr>
        <w:t xml:space="preserve">are </w:t>
      </w:r>
      <w:r w:rsidR="00EC0D5C" w:rsidRPr="00EC0D5C">
        <w:rPr>
          <w:szCs w:val="20"/>
        </w:rPr>
        <w:t>b</w:t>
      </w:r>
      <w:r w:rsidR="00932156" w:rsidRPr="00EC0D5C">
        <w:rPr>
          <w:szCs w:val="20"/>
        </w:rPr>
        <w:t xml:space="preserve">elow the </w:t>
      </w:r>
      <w:r w:rsidR="00EC0D5C" w:rsidRPr="00EC0D5C">
        <w:rPr>
          <w:szCs w:val="20"/>
        </w:rPr>
        <w:t>e</w:t>
      </w:r>
      <w:r w:rsidRPr="00EC0D5C">
        <w:rPr>
          <w:szCs w:val="20"/>
        </w:rPr>
        <w:t>lbows</w:t>
      </w:r>
      <w:r w:rsidR="002006E0" w:rsidRPr="00EC0D5C">
        <w:rPr>
          <w:szCs w:val="20"/>
        </w:rPr>
        <w:t xml:space="preserve"> (BBE)</w:t>
      </w:r>
      <w:r w:rsidR="00EC0D5C" w:rsidRPr="00EC0D5C">
        <w:rPr>
          <w:szCs w:val="20"/>
        </w:rPr>
        <w:t xml:space="preserve">. </w:t>
      </w:r>
      <w:r w:rsidR="00B10A9D" w:rsidRPr="00EC0D5C">
        <w:rPr>
          <w:szCs w:val="20"/>
        </w:rPr>
        <w:t xml:space="preserve"> </w:t>
      </w:r>
    </w:p>
    <w:p w14:paraId="487A323B" w14:textId="77777777" w:rsidR="00EC0D5C" w:rsidRDefault="00EC0D5C" w:rsidP="0019263A">
      <w:pPr>
        <w:pStyle w:val="NoSpacing"/>
        <w:rPr>
          <w:rFonts w:ascii="Arial" w:hAnsi="Arial" w:cs="Arial"/>
          <w:sz w:val="20"/>
          <w:szCs w:val="20"/>
        </w:rPr>
      </w:pPr>
    </w:p>
    <w:p w14:paraId="34E9F7AD" w14:textId="77777777" w:rsidR="00EC0D5C" w:rsidRPr="00EC0D5C" w:rsidRDefault="00EC0D5C" w:rsidP="00EC0D5C">
      <w:pPr>
        <w:pStyle w:val="Table-text"/>
        <w:rPr>
          <w:szCs w:val="20"/>
        </w:rPr>
      </w:pPr>
      <w:r w:rsidRPr="00EC0D5C">
        <w:rPr>
          <w:szCs w:val="20"/>
        </w:rPr>
        <w:t xml:space="preserve">The following graph shows the Trust’s compliance for each audit.  </w:t>
      </w:r>
    </w:p>
    <w:p w14:paraId="0ECF86EF" w14:textId="77777777" w:rsidR="00EC0D5C" w:rsidRPr="00EC0D5C" w:rsidRDefault="00EC0D5C" w:rsidP="00EC0D5C">
      <w:pPr>
        <w:pStyle w:val="Table-text"/>
        <w:rPr>
          <w:szCs w:val="20"/>
        </w:rPr>
      </w:pPr>
      <w:r w:rsidRPr="00EC0D5C">
        <w:rPr>
          <w:szCs w:val="20"/>
        </w:rPr>
        <w:t xml:space="preserve">The results show that the Trust consistently achieved above the 95% target in all areas for IPC General </w:t>
      </w:r>
      <w:proofErr w:type="gramStart"/>
      <w:r w:rsidRPr="00EC0D5C">
        <w:rPr>
          <w:szCs w:val="20"/>
        </w:rPr>
        <w:t>Inspection,  Hand</w:t>
      </w:r>
      <w:proofErr w:type="gramEnd"/>
      <w:r w:rsidRPr="00EC0D5C">
        <w:rPr>
          <w:szCs w:val="20"/>
        </w:rPr>
        <w:t xml:space="preserve"> Hygiene and Bare Below the Elbow (BBE). </w:t>
      </w:r>
    </w:p>
    <w:p w14:paraId="4A78458E" w14:textId="77777777" w:rsidR="00EC0D5C" w:rsidRPr="00EC0D5C" w:rsidRDefault="00EC0D5C" w:rsidP="00EC0D5C">
      <w:pPr>
        <w:pStyle w:val="Table-text"/>
        <w:rPr>
          <w:szCs w:val="20"/>
        </w:rPr>
      </w:pPr>
    </w:p>
    <w:p w14:paraId="6347874E" w14:textId="77777777" w:rsidR="00B77A4F" w:rsidRDefault="00B77A4F" w:rsidP="00B10A9D">
      <w:pPr>
        <w:pStyle w:val="Table-text"/>
        <w:rPr>
          <w:noProof/>
        </w:rPr>
      </w:pPr>
    </w:p>
    <w:p w14:paraId="65FD6E2D" w14:textId="77777777" w:rsidR="00EC0D5C" w:rsidRDefault="00EC0D5C" w:rsidP="00D57159">
      <w:pPr>
        <w:pStyle w:val="Table-text"/>
        <w:jc w:val="center"/>
        <w:rPr>
          <w:noProof/>
        </w:rPr>
      </w:pPr>
    </w:p>
    <w:p w14:paraId="114E4E43" w14:textId="4B8D5005" w:rsidR="00173B15" w:rsidRPr="00CE0762" w:rsidRDefault="00B77A4F" w:rsidP="00CE0762">
      <w:pPr>
        <w:pStyle w:val="Table-text"/>
        <w:jc w:val="center"/>
        <w:rPr>
          <w:noProof/>
        </w:rPr>
      </w:pPr>
      <w:r>
        <w:rPr>
          <w:noProof/>
        </w:rPr>
        <w:drawing>
          <wp:inline distT="0" distB="0" distL="0" distR="0" wp14:anchorId="0658AF9A" wp14:editId="46216436">
            <wp:extent cx="5923280" cy="2385391"/>
            <wp:effectExtent l="0" t="0" r="1270" b="0"/>
            <wp:docPr id="2" name="Chart 2">
              <a:extLst xmlns:a="http://schemas.openxmlformats.org/drawingml/2006/main">
                <a:ext uri="{FF2B5EF4-FFF2-40B4-BE49-F238E27FC236}">
                  <a16:creationId xmlns:a16="http://schemas.microsoft.com/office/drawing/2014/main" id="{00000000-0008-0000-06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14E3F0" w14:textId="77777777" w:rsidR="00173B15" w:rsidRPr="001D16BD" w:rsidRDefault="00173B15" w:rsidP="00173B15">
      <w:pPr>
        <w:rPr>
          <w:b/>
          <w:sz w:val="22"/>
          <w:u w:val="single"/>
        </w:rPr>
      </w:pPr>
      <w:r w:rsidRPr="001D16BD">
        <w:rPr>
          <w:b/>
          <w:sz w:val="22"/>
          <w:u w:val="single"/>
        </w:rPr>
        <w:t xml:space="preserve">IPC Quality Assurance Walks </w:t>
      </w:r>
    </w:p>
    <w:p w14:paraId="21B8E390" w14:textId="507D86C2" w:rsidR="00CD6B8D" w:rsidRDefault="00CD6B8D" w:rsidP="001D16BD">
      <w:pPr>
        <w:rPr>
          <w:bCs/>
          <w:sz w:val="20"/>
          <w:szCs w:val="20"/>
        </w:rPr>
      </w:pPr>
      <w:r>
        <w:rPr>
          <w:bCs/>
          <w:sz w:val="20"/>
          <w:szCs w:val="20"/>
        </w:rPr>
        <w:t xml:space="preserve">The IPC team undertake regular audits called Quality Assurance Walks.  The walks enable us to monitor standards of IPC within the wards/departments, </w:t>
      </w:r>
      <w:r w:rsidR="009A6F47">
        <w:rPr>
          <w:bCs/>
          <w:sz w:val="20"/>
          <w:szCs w:val="20"/>
        </w:rPr>
        <w:t xml:space="preserve">such as hand hygiene, patient placement, cleanliness of the patient environment, linen management, waste management, and other standard infection control precautions.  </w:t>
      </w:r>
    </w:p>
    <w:p w14:paraId="317DB4EA" w14:textId="72A1EE68" w:rsidR="00173B15" w:rsidRPr="001D16BD" w:rsidRDefault="00173B15" w:rsidP="001D16BD">
      <w:pPr>
        <w:rPr>
          <w:bCs/>
          <w:sz w:val="20"/>
          <w:szCs w:val="20"/>
        </w:rPr>
      </w:pPr>
      <w:r w:rsidRPr="001D16BD">
        <w:rPr>
          <w:bCs/>
          <w:sz w:val="20"/>
          <w:szCs w:val="20"/>
        </w:rPr>
        <w:t>Since introduction of the IPC Quality Assurance Walk system in August 2021, the team continue to undertake a rolling programme of assurance audits driven by a R</w:t>
      </w:r>
      <w:r w:rsidR="00877E37">
        <w:rPr>
          <w:bCs/>
          <w:sz w:val="20"/>
          <w:szCs w:val="20"/>
        </w:rPr>
        <w:t xml:space="preserve">ed </w:t>
      </w:r>
      <w:r w:rsidRPr="001D16BD">
        <w:rPr>
          <w:bCs/>
          <w:sz w:val="20"/>
          <w:szCs w:val="20"/>
        </w:rPr>
        <w:t>A</w:t>
      </w:r>
      <w:r w:rsidR="00877E37">
        <w:rPr>
          <w:bCs/>
          <w:sz w:val="20"/>
          <w:szCs w:val="20"/>
        </w:rPr>
        <w:t xml:space="preserve">mber </w:t>
      </w:r>
      <w:r w:rsidRPr="001D16BD">
        <w:rPr>
          <w:bCs/>
          <w:sz w:val="20"/>
          <w:szCs w:val="20"/>
        </w:rPr>
        <w:t>G</w:t>
      </w:r>
      <w:r w:rsidR="00877E37">
        <w:rPr>
          <w:bCs/>
          <w:sz w:val="20"/>
          <w:szCs w:val="20"/>
        </w:rPr>
        <w:t>reen</w:t>
      </w:r>
      <w:r w:rsidRPr="001D16BD">
        <w:rPr>
          <w:bCs/>
          <w:sz w:val="20"/>
          <w:szCs w:val="20"/>
        </w:rPr>
        <w:t xml:space="preserve"> </w:t>
      </w:r>
      <w:r w:rsidR="00877E37">
        <w:rPr>
          <w:bCs/>
          <w:sz w:val="20"/>
          <w:szCs w:val="20"/>
        </w:rPr>
        <w:t xml:space="preserve">(RAG) </w:t>
      </w:r>
      <w:r w:rsidRPr="001D16BD">
        <w:rPr>
          <w:bCs/>
          <w:sz w:val="20"/>
          <w:szCs w:val="20"/>
        </w:rPr>
        <w:t>rated escalation process</w:t>
      </w:r>
      <w:r w:rsidR="00CD6B8D">
        <w:rPr>
          <w:bCs/>
          <w:sz w:val="20"/>
          <w:szCs w:val="20"/>
        </w:rPr>
        <w:t>, with frequencies set in line with functional risk categories (National Standards of Cleanliness)</w:t>
      </w:r>
      <w:r w:rsidR="009A6F47">
        <w:rPr>
          <w:bCs/>
          <w:sz w:val="20"/>
          <w:szCs w:val="20"/>
        </w:rPr>
        <w:t xml:space="preserve">.  </w:t>
      </w:r>
    </w:p>
    <w:p w14:paraId="2159087E" w14:textId="77777777" w:rsidR="00173B15" w:rsidRPr="001D16BD" w:rsidRDefault="00173B15" w:rsidP="00173B15">
      <w:pPr>
        <w:pStyle w:val="NoSpacing"/>
        <w:rPr>
          <w:rFonts w:ascii="Arial" w:hAnsi="Arial" w:cs="Arial"/>
          <w:sz w:val="20"/>
          <w:szCs w:val="20"/>
        </w:rPr>
      </w:pPr>
    </w:p>
    <w:p w14:paraId="3370DDC5" w14:textId="6C6F266A" w:rsidR="00173B15" w:rsidRPr="009A6F47" w:rsidRDefault="001D16BD" w:rsidP="009A6F47">
      <w:pPr>
        <w:pStyle w:val="NoSpacing"/>
        <w:rPr>
          <w:rFonts w:ascii="Arial" w:hAnsi="Arial" w:cs="Arial"/>
          <w:sz w:val="20"/>
          <w:szCs w:val="20"/>
        </w:rPr>
      </w:pPr>
      <w:r>
        <w:rPr>
          <w:rFonts w:ascii="Arial" w:hAnsi="Arial" w:cs="Arial"/>
          <w:sz w:val="20"/>
          <w:szCs w:val="20"/>
        </w:rPr>
        <w:t xml:space="preserve">The </w:t>
      </w:r>
      <w:r w:rsidR="00173B15" w:rsidRPr="001D16BD">
        <w:rPr>
          <w:rFonts w:ascii="Arial" w:hAnsi="Arial" w:cs="Arial"/>
          <w:sz w:val="20"/>
          <w:szCs w:val="20"/>
        </w:rPr>
        <w:t xml:space="preserve">IPC team priorities going forward </w:t>
      </w:r>
      <w:r>
        <w:rPr>
          <w:rFonts w:ascii="Arial" w:hAnsi="Arial" w:cs="Arial"/>
          <w:sz w:val="20"/>
          <w:szCs w:val="20"/>
        </w:rPr>
        <w:t>include</w:t>
      </w:r>
      <w:r w:rsidR="00173B15" w:rsidRPr="001D16BD">
        <w:rPr>
          <w:rFonts w:ascii="Arial" w:hAnsi="Arial" w:cs="Arial"/>
          <w:sz w:val="20"/>
          <w:szCs w:val="20"/>
        </w:rPr>
        <w:t xml:space="preserve"> align</w:t>
      </w:r>
      <w:r>
        <w:rPr>
          <w:rFonts w:ascii="Arial" w:hAnsi="Arial" w:cs="Arial"/>
          <w:sz w:val="20"/>
          <w:szCs w:val="20"/>
        </w:rPr>
        <w:t>ment of</w:t>
      </w:r>
      <w:r w:rsidR="00173B15" w:rsidRPr="001D16BD">
        <w:rPr>
          <w:rFonts w:ascii="Arial" w:hAnsi="Arial" w:cs="Arial"/>
          <w:sz w:val="20"/>
          <w:szCs w:val="20"/>
        </w:rPr>
        <w:t xml:space="preserve"> all </w:t>
      </w:r>
      <w:r>
        <w:rPr>
          <w:rFonts w:ascii="Arial" w:hAnsi="Arial" w:cs="Arial"/>
          <w:sz w:val="20"/>
          <w:szCs w:val="20"/>
        </w:rPr>
        <w:t>a</w:t>
      </w:r>
      <w:r w:rsidR="00173B15" w:rsidRPr="001D16BD">
        <w:rPr>
          <w:rFonts w:ascii="Arial" w:hAnsi="Arial" w:cs="Arial"/>
          <w:sz w:val="20"/>
          <w:szCs w:val="20"/>
        </w:rPr>
        <w:t xml:space="preserve">udit </w:t>
      </w:r>
      <w:r>
        <w:rPr>
          <w:rFonts w:ascii="Arial" w:hAnsi="Arial" w:cs="Arial"/>
          <w:sz w:val="20"/>
          <w:szCs w:val="20"/>
        </w:rPr>
        <w:t>t</w:t>
      </w:r>
      <w:r w:rsidR="00173B15" w:rsidRPr="001D16BD">
        <w:rPr>
          <w:rFonts w:ascii="Arial" w:hAnsi="Arial" w:cs="Arial"/>
          <w:sz w:val="20"/>
          <w:szCs w:val="20"/>
        </w:rPr>
        <w:t>oolkits to the</w:t>
      </w:r>
      <w:r>
        <w:rPr>
          <w:rFonts w:ascii="Arial" w:hAnsi="Arial" w:cs="Arial"/>
          <w:sz w:val="20"/>
          <w:szCs w:val="20"/>
        </w:rPr>
        <w:t xml:space="preserve"> National</w:t>
      </w:r>
      <w:r w:rsidR="00173B15" w:rsidRPr="001D16BD">
        <w:rPr>
          <w:rFonts w:ascii="Arial" w:hAnsi="Arial" w:cs="Arial"/>
          <w:sz w:val="20"/>
          <w:szCs w:val="20"/>
        </w:rPr>
        <w:t xml:space="preserve"> Infection Prevention</w:t>
      </w:r>
      <w:r w:rsidR="00FF0D32">
        <w:rPr>
          <w:rFonts w:ascii="Arial" w:hAnsi="Arial" w:cs="Arial"/>
          <w:sz w:val="20"/>
          <w:szCs w:val="20"/>
        </w:rPr>
        <w:t xml:space="preserve"> </w:t>
      </w:r>
      <w:r w:rsidR="00173B15" w:rsidRPr="001D16BD">
        <w:rPr>
          <w:rFonts w:ascii="Arial" w:hAnsi="Arial" w:cs="Arial"/>
          <w:sz w:val="20"/>
          <w:szCs w:val="20"/>
        </w:rPr>
        <w:t>and Control Manual</w:t>
      </w:r>
      <w:r>
        <w:rPr>
          <w:rFonts w:ascii="Arial" w:hAnsi="Arial" w:cs="Arial"/>
          <w:sz w:val="20"/>
          <w:szCs w:val="20"/>
        </w:rPr>
        <w:t xml:space="preserve"> for England</w:t>
      </w:r>
      <w:r w:rsidR="00173B15" w:rsidRPr="001D16BD">
        <w:rPr>
          <w:rFonts w:ascii="Arial" w:hAnsi="Arial" w:cs="Arial"/>
          <w:sz w:val="20"/>
          <w:szCs w:val="20"/>
        </w:rPr>
        <w:t xml:space="preserve"> (</w:t>
      </w:r>
      <w:r>
        <w:rPr>
          <w:rFonts w:ascii="Arial" w:hAnsi="Arial" w:cs="Arial"/>
          <w:sz w:val="20"/>
          <w:szCs w:val="20"/>
        </w:rPr>
        <w:t>N</w:t>
      </w:r>
      <w:r w:rsidR="00173B15" w:rsidRPr="001D16BD">
        <w:rPr>
          <w:rFonts w:ascii="Arial" w:hAnsi="Arial" w:cs="Arial"/>
          <w:sz w:val="20"/>
          <w:szCs w:val="20"/>
        </w:rPr>
        <w:t>IPCM)</w:t>
      </w:r>
      <w:r>
        <w:rPr>
          <w:rFonts w:ascii="Arial" w:hAnsi="Arial" w:cs="Arial"/>
          <w:sz w:val="20"/>
          <w:szCs w:val="20"/>
        </w:rPr>
        <w:t>; which will provide</w:t>
      </w:r>
      <w:r w:rsidR="00CD6B8D">
        <w:rPr>
          <w:rFonts w:ascii="Arial" w:hAnsi="Arial" w:cs="Arial"/>
          <w:sz w:val="20"/>
          <w:szCs w:val="20"/>
        </w:rPr>
        <w:t xml:space="preserve"> further</w:t>
      </w:r>
      <w:r>
        <w:rPr>
          <w:rFonts w:ascii="Arial" w:hAnsi="Arial" w:cs="Arial"/>
          <w:sz w:val="20"/>
          <w:szCs w:val="20"/>
        </w:rPr>
        <w:t xml:space="preserve"> assurance around standard infection control precautions.</w:t>
      </w:r>
      <w:r w:rsidR="00173B15" w:rsidRPr="001D16BD">
        <w:rPr>
          <w:rFonts w:ascii="Arial" w:hAnsi="Arial" w:cs="Arial"/>
          <w:sz w:val="20"/>
          <w:szCs w:val="20"/>
        </w:rPr>
        <w:t xml:space="preserve"> </w:t>
      </w:r>
    </w:p>
    <w:p w14:paraId="0BF8A0D7" w14:textId="77777777" w:rsidR="00173B15" w:rsidRPr="001D16BD" w:rsidRDefault="00173B15" w:rsidP="00173B15">
      <w:pPr>
        <w:rPr>
          <w:bCs/>
          <w:sz w:val="20"/>
          <w:szCs w:val="20"/>
        </w:rPr>
      </w:pPr>
    </w:p>
    <w:p w14:paraId="1B081387" w14:textId="77777777" w:rsidR="00C21610" w:rsidRDefault="009A6F47" w:rsidP="00173B15">
      <w:pPr>
        <w:pStyle w:val="NoSpacing"/>
        <w:rPr>
          <w:rFonts w:ascii="Arial" w:hAnsi="Arial" w:cs="Arial"/>
          <w:sz w:val="20"/>
          <w:szCs w:val="20"/>
        </w:rPr>
      </w:pPr>
      <w:r>
        <w:rPr>
          <w:rFonts w:ascii="Arial" w:hAnsi="Arial" w:cs="Arial"/>
          <w:sz w:val="20"/>
          <w:szCs w:val="20"/>
        </w:rPr>
        <w:t>This year</w:t>
      </w:r>
      <w:r w:rsidR="00173B15" w:rsidRPr="001D16BD">
        <w:rPr>
          <w:rFonts w:ascii="Arial" w:hAnsi="Arial" w:cs="Arial"/>
          <w:sz w:val="20"/>
          <w:szCs w:val="20"/>
        </w:rPr>
        <w:t xml:space="preserve"> a total of 66 walks were undertaken </w:t>
      </w:r>
      <w:r>
        <w:rPr>
          <w:rFonts w:ascii="Arial" w:hAnsi="Arial" w:cs="Arial"/>
          <w:sz w:val="20"/>
          <w:szCs w:val="20"/>
        </w:rPr>
        <w:t>that identified common themes such as patient equipment not always being labelled as clean, and some non-</w:t>
      </w:r>
      <w:proofErr w:type="spellStart"/>
      <w:r>
        <w:rPr>
          <w:rFonts w:ascii="Arial" w:hAnsi="Arial" w:cs="Arial"/>
          <w:sz w:val="20"/>
          <w:szCs w:val="20"/>
        </w:rPr>
        <w:t>conplinace</w:t>
      </w:r>
      <w:proofErr w:type="spellEnd"/>
      <w:r>
        <w:rPr>
          <w:rFonts w:ascii="Arial" w:hAnsi="Arial" w:cs="Arial"/>
          <w:sz w:val="20"/>
          <w:szCs w:val="20"/>
        </w:rPr>
        <w:t xml:space="preserve"> of cleanliness around shared equipment such as commodes and toilet se</w:t>
      </w:r>
      <w:r w:rsidR="00C21610">
        <w:rPr>
          <w:rFonts w:ascii="Arial" w:hAnsi="Arial" w:cs="Arial"/>
          <w:sz w:val="20"/>
          <w:szCs w:val="20"/>
        </w:rPr>
        <w:t xml:space="preserve">at </w:t>
      </w:r>
      <w:r>
        <w:rPr>
          <w:rFonts w:ascii="Arial" w:hAnsi="Arial" w:cs="Arial"/>
          <w:sz w:val="20"/>
          <w:szCs w:val="20"/>
        </w:rPr>
        <w:t>raisers. Quality assurance walks are documented using an electronic programme that enables actions</w:t>
      </w:r>
      <w:r w:rsidR="00C21610">
        <w:rPr>
          <w:rFonts w:ascii="Arial" w:hAnsi="Arial" w:cs="Arial"/>
          <w:sz w:val="20"/>
          <w:szCs w:val="20"/>
        </w:rPr>
        <w:t xml:space="preserve"> </w:t>
      </w:r>
      <w:r>
        <w:rPr>
          <w:rFonts w:ascii="Arial" w:hAnsi="Arial" w:cs="Arial"/>
          <w:sz w:val="20"/>
          <w:szCs w:val="20"/>
        </w:rPr>
        <w:t xml:space="preserve">to be </w:t>
      </w:r>
      <w:proofErr w:type="spellStart"/>
      <w:r>
        <w:rPr>
          <w:rFonts w:ascii="Arial" w:hAnsi="Arial" w:cs="Arial"/>
          <w:sz w:val="20"/>
          <w:szCs w:val="20"/>
        </w:rPr>
        <w:t>idenfied</w:t>
      </w:r>
      <w:proofErr w:type="spellEnd"/>
      <w:r>
        <w:rPr>
          <w:rFonts w:ascii="Arial" w:hAnsi="Arial" w:cs="Arial"/>
          <w:sz w:val="20"/>
          <w:szCs w:val="20"/>
        </w:rPr>
        <w:t xml:space="preserve"> to the responsible ward/dept manager straight away.</w:t>
      </w:r>
      <w:r w:rsidR="00C21610">
        <w:rPr>
          <w:rFonts w:ascii="Arial" w:hAnsi="Arial" w:cs="Arial"/>
          <w:sz w:val="20"/>
          <w:szCs w:val="20"/>
        </w:rPr>
        <w:t xml:space="preserve">  All actions are monitored through an Infection Prevention and Control &amp; Cleanliness Working Group (IPCWG) on a bi-weekly basis for oversight, to ensure that actions are dealt with in a timely manner.  </w:t>
      </w:r>
    </w:p>
    <w:p w14:paraId="21920F38" w14:textId="77777777" w:rsidR="00C21610" w:rsidRDefault="00C21610" w:rsidP="00173B15">
      <w:pPr>
        <w:pStyle w:val="NoSpacing"/>
        <w:rPr>
          <w:rFonts w:ascii="Arial" w:hAnsi="Arial" w:cs="Arial"/>
          <w:sz w:val="20"/>
          <w:szCs w:val="20"/>
        </w:rPr>
      </w:pPr>
    </w:p>
    <w:p w14:paraId="5F6664B8" w14:textId="0743B63F" w:rsidR="00C21610" w:rsidRDefault="00C21610" w:rsidP="00CE0762">
      <w:pPr>
        <w:pStyle w:val="NoSpacing"/>
        <w:rPr>
          <w:rFonts w:ascii="Arial" w:hAnsi="Arial" w:cs="Arial"/>
          <w:sz w:val="20"/>
          <w:szCs w:val="20"/>
        </w:rPr>
      </w:pPr>
      <w:r>
        <w:rPr>
          <w:rFonts w:ascii="Arial" w:hAnsi="Arial" w:cs="Arial"/>
          <w:sz w:val="20"/>
          <w:szCs w:val="20"/>
        </w:rPr>
        <w:t>This year, the IPC team are pleased to report 100% compliance to the IPC QA walk plan.</w:t>
      </w:r>
    </w:p>
    <w:p w14:paraId="38C3476A" w14:textId="77777777" w:rsidR="00CE0762" w:rsidRPr="00CE0762" w:rsidRDefault="00CE0762" w:rsidP="00CE0762">
      <w:pPr>
        <w:pStyle w:val="NoSpacing"/>
        <w:rPr>
          <w:rFonts w:ascii="Arial" w:hAnsi="Arial" w:cs="Arial"/>
          <w:sz w:val="20"/>
          <w:szCs w:val="20"/>
        </w:rPr>
      </w:pPr>
    </w:p>
    <w:p w14:paraId="45A06AA4" w14:textId="189D2378" w:rsidR="007D2EDC" w:rsidRPr="007B3067" w:rsidRDefault="007D2EDC" w:rsidP="007D2EDC">
      <w:pPr>
        <w:rPr>
          <w:sz w:val="20"/>
          <w:szCs w:val="20"/>
          <w:u w:val="single"/>
        </w:rPr>
      </w:pPr>
      <w:proofErr w:type="spellStart"/>
      <w:r w:rsidRPr="007B3067">
        <w:rPr>
          <w:sz w:val="20"/>
          <w:szCs w:val="20"/>
          <w:u w:val="single"/>
        </w:rPr>
        <w:t>OneTogether</w:t>
      </w:r>
      <w:proofErr w:type="spellEnd"/>
    </w:p>
    <w:p w14:paraId="300FE839" w14:textId="77777777" w:rsidR="007B3067" w:rsidRPr="00C21610" w:rsidRDefault="007B3067" w:rsidP="007D2EDC">
      <w:pPr>
        <w:rPr>
          <w:b/>
          <w:bCs/>
          <w:sz w:val="20"/>
          <w:szCs w:val="20"/>
          <w:u w:val="single"/>
        </w:rPr>
      </w:pPr>
    </w:p>
    <w:p w14:paraId="3627FFE7" w14:textId="77777777" w:rsidR="007D2EDC" w:rsidRPr="00C21610" w:rsidRDefault="007D2EDC" w:rsidP="007D2EDC">
      <w:pPr>
        <w:spacing w:before="0" w:after="200" w:line="276" w:lineRule="auto"/>
        <w:rPr>
          <w:rFonts w:eastAsiaTheme="minorHAnsi" w:cs="Arial"/>
          <w:sz w:val="20"/>
          <w:szCs w:val="20"/>
        </w:rPr>
      </w:pPr>
      <w:proofErr w:type="spellStart"/>
      <w:r w:rsidRPr="00C21610">
        <w:rPr>
          <w:rFonts w:eastAsiaTheme="minorHAnsi" w:cs="Arial"/>
          <w:sz w:val="20"/>
          <w:szCs w:val="20"/>
        </w:rPr>
        <w:t>OneTogether</w:t>
      </w:r>
      <w:proofErr w:type="spellEnd"/>
      <w:r w:rsidRPr="00C21610">
        <w:rPr>
          <w:rFonts w:eastAsiaTheme="minorHAnsi" w:cs="Arial"/>
          <w:sz w:val="20"/>
          <w:szCs w:val="20"/>
        </w:rPr>
        <w:t xml:space="preserve"> is a partnership between leading professional organisations with an interest in the prevention of surgical site infection (SSI).  The partnership has been initiated as a quality improvement collaborative with the aim of promoting and supporting the adoption of best practice to prevent SSI throughout the patient’s surgical pathway.  </w:t>
      </w:r>
    </w:p>
    <w:p w14:paraId="37911118" w14:textId="77777777" w:rsidR="007D2EDC" w:rsidRPr="00C21610" w:rsidRDefault="007D2EDC" w:rsidP="007D2EDC">
      <w:pPr>
        <w:spacing w:before="0" w:after="200" w:line="276" w:lineRule="auto"/>
        <w:rPr>
          <w:rFonts w:eastAsiaTheme="minorHAnsi" w:cs="Arial"/>
          <w:sz w:val="20"/>
          <w:szCs w:val="20"/>
        </w:rPr>
      </w:pPr>
      <w:r w:rsidRPr="00C21610">
        <w:rPr>
          <w:rFonts w:eastAsiaTheme="minorHAnsi" w:cs="Arial"/>
          <w:sz w:val="20"/>
          <w:szCs w:val="20"/>
        </w:rPr>
        <w:lastRenderedPageBreak/>
        <w:t xml:space="preserve">The </w:t>
      </w:r>
      <w:proofErr w:type="spellStart"/>
      <w:r w:rsidRPr="00C21610">
        <w:rPr>
          <w:rFonts w:eastAsiaTheme="minorHAnsi" w:cs="Arial"/>
          <w:sz w:val="20"/>
          <w:szCs w:val="20"/>
        </w:rPr>
        <w:t>OneTogether</w:t>
      </w:r>
      <w:proofErr w:type="spellEnd"/>
      <w:r w:rsidRPr="00C21610">
        <w:rPr>
          <w:rFonts w:eastAsiaTheme="minorHAnsi" w:cs="Arial"/>
          <w:sz w:val="20"/>
          <w:szCs w:val="20"/>
        </w:rPr>
        <w:t xml:space="preserve"> assessment tool has been designed to demonstrate compliance across the surgical pathway and is set out in 7 standards:</w:t>
      </w:r>
    </w:p>
    <w:p w14:paraId="534986D5" w14:textId="77777777" w:rsidR="007D2EDC" w:rsidRPr="00C21610" w:rsidRDefault="007D2EDC" w:rsidP="009D6D0B">
      <w:pPr>
        <w:numPr>
          <w:ilvl w:val="0"/>
          <w:numId w:val="12"/>
        </w:numPr>
        <w:spacing w:before="0" w:after="200" w:line="276" w:lineRule="auto"/>
        <w:contextualSpacing/>
        <w:rPr>
          <w:rFonts w:eastAsiaTheme="minorHAnsi" w:cs="Arial"/>
          <w:sz w:val="20"/>
          <w:szCs w:val="20"/>
        </w:rPr>
      </w:pPr>
      <w:r w:rsidRPr="00C21610">
        <w:rPr>
          <w:rFonts w:eastAsiaTheme="minorHAnsi" w:cs="Arial"/>
          <w:sz w:val="20"/>
          <w:szCs w:val="20"/>
        </w:rPr>
        <w:t>Skin preparation</w:t>
      </w:r>
    </w:p>
    <w:p w14:paraId="46C66D4C" w14:textId="77777777" w:rsidR="007D2EDC" w:rsidRPr="00C21610" w:rsidRDefault="007D2EDC" w:rsidP="009D6D0B">
      <w:pPr>
        <w:numPr>
          <w:ilvl w:val="0"/>
          <w:numId w:val="12"/>
        </w:numPr>
        <w:spacing w:before="0" w:after="200" w:line="276" w:lineRule="auto"/>
        <w:contextualSpacing/>
        <w:rPr>
          <w:rFonts w:eastAsiaTheme="minorHAnsi" w:cs="Arial"/>
          <w:sz w:val="20"/>
          <w:szCs w:val="20"/>
        </w:rPr>
      </w:pPr>
      <w:r w:rsidRPr="00C21610">
        <w:rPr>
          <w:rFonts w:eastAsiaTheme="minorHAnsi" w:cs="Arial"/>
          <w:sz w:val="20"/>
          <w:szCs w:val="20"/>
        </w:rPr>
        <w:t>Prophylactic antibiotics</w:t>
      </w:r>
    </w:p>
    <w:p w14:paraId="455BE73B" w14:textId="77777777" w:rsidR="007D2EDC" w:rsidRPr="00C21610" w:rsidRDefault="007D2EDC" w:rsidP="009D6D0B">
      <w:pPr>
        <w:numPr>
          <w:ilvl w:val="0"/>
          <w:numId w:val="12"/>
        </w:numPr>
        <w:spacing w:before="0" w:after="200" w:line="276" w:lineRule="auto"/>
        <w:contextualSpacing/>
        <w:rPr>
          <w:rFonts w:eastAsiaTheme="minorHAnsi" w:cs="Arial"/>
          <w:sz w:val="20"/>
          <w:szCs w:val="20"/>
        </w:rPr>
      </w:pPr>
      <w:r w:rsidRPr="00C21610">
        <w:rPr>
          <w:rFonts w:eastAsiaTheme="minorHAnsi" w:cs="Arial"/>
          <w:sz w:val="20"/>
          <w:szCs w:val="20"/>
        </w:rPr>
        <w:t>Patient warming</w:t>
      </w:r>
    </w:p>
    <w:p w14:paraId="71C2AE7A" w14:textId="77777777" w:rsidR="007D2EDC" w:rsidRPr="00C21610" w:rsidRDefault="007D2EDC" w:rsidP="009D6D0B">
      <w:pPr>
        <w:numPr>
          <w:ilvl w:val="0"/>
          <w:numId w:val="12"/>
        </w:numPr>
        <w:spacing w:before="0" w:after="200" w:line="276" w:lineRule="auto"/>
        <w:contextualSpacing/>
        <w:rPr>
          <w:rFonts w:eastAsiaTheme="minorHAnsi" w:cs="Arial"/>
          <w:sz w:val="20"/>
          <w:szCs w:val="20"/>
        </w:rPr>
      </w:pPr>
      <w:r w:rsidRPr="00C21610">
        <w:rPr>
          <w:rFonts w:eastAsiaTheme="minorHAnsi" w:cs="Arial"/>
          <w:sz w:val="20"/>
          <w:szCs w:val="20"/>
        </w:rPr>
        <w:t>Maintaining asepsis</w:t>
      </w:r>
    </w:p>
    <w:p w14:paraId="54AC7BAD" w14:textId="77777777" w:rsidR="007D2EDC" w:rsidRPr="00C21610" w:rsidRDefault="007D2EDC" w:rsidP="009D6D0B">
      <w:pPr>
        <w:numPr>
          <w:ilvl w:val="0"/>
          <w:numId w:val="12"/>
        </w:numPr>
        <w:spacing w:before="0" w:after="200" w:line="276" w:lineRule="auto"/>
        <w:contextualSpacing/>
        <w:rPr>
          <w:rFonts w:eastAsiaTheme="minorHAnsi" w:cs="Arial"/>
          <w:sz w:val="20"/>
          <w:szCs w:val="20"/>
        </w:rPr>
      </w:pPr>
      <w:r w:rsidRPr="00C21610">
        <w:rPr>
          <w:rFonts w:eastAsiaTheme="minorHAnsi" w:cs="Arial"/>
          <w:sz w:val="20"/>
          <w:szCs w:val="20"/>
        </w:rPr>
        <w:t>Surgical environment</w:t>
      </w:r>
    </w:p>
    <w:p w14:paraId="78117156" w14:textId="77777777" w:rsidR="007D2EDC" w:rsidRPr="00C21610" w:rsidRDefault="007D2EDC" w:rsidP="009D6D0B">
      <w:pPr>
        <w:numPr>
          <w:ilvl w:val="0"/>
          <w:numId w:val="12"/>
        </w:numPr>
        <w:spacing w:before="0" w:after="200" w:line="276" w:lineRule="auto"/>
        <w:contextualSpacing/>
        <w:rPr>
          <w:rFonts w:eastAsiaTheme="minorHAnsi" w:cs="Arial"/>
          <w:sz w:val="20"/>
          <w:szCs w:val="20"/>
        </w:rPr>
      </w:pPr>
      <w:r w:rsidRPr="00C21610">
        <w:rPr>
          <w:rFonts w:eastAsiaTheme="minorHAnsi" w:cs="Arial"/>
          <w:sz w:val="20"/>
          <w:szCs w:val="20"/>
        </w:rPr>
        <w:t>Wound management</w:t>
      </w:r>
    </w:p>
    <w:p w14:paraId="5035FA1C" w14:textId="77777777" w:rsidR="007D2EDC" w:rsidRPr="00C21610" w:rsidRDefault="007D2EDC" w:rsidP="009D6D0B">
      <w:pPr>
        <w:numPr>
          <w:ilvl w:val="0"/>
          <w:numId w:val="12"/>
        </w:numPr>
        <w:spacing w:before="0" w:after="200" w:line="276" w:lineRule="auto"/>
        <w:contextualSpacing/>
        <w:rPr>
          <w:rFonts w:eastAsiaTheme="minorHAnsi" w:cs="Arial"/>
          <w:sz w:val="20"/>
          <w:szCs w:val="20"/>
        </w:rPr>
      </w:pPr>
      <w:r w:rsidRPr="00C21610">
        <w:rPr>
          <w:rFonts w:eastAsiaTheme="minorHAnsi" w:cs="Arial"/>
          <w:sz w:val="20"/>
          <w:szCs w:val="20"/>
        </w:rPr>
        <w:t>Surveillance of surgical site infection</w:t>
      </w:r>
    </w:p>
    <w:p w14:paraId="268AC69B" w14:textId="77777777" w:rsidR="0055582F" w:rsidRPr="00C21610" w:rsidRDefault="0055582F" w:rsidP="0055582F">
      <w:pPr>
        <w:spacing w:before="0" w:after="200" w:line="276" w:lineRule="auto"/>
        <w:contextualSpacing/>
        <w:rPr>
          <w:rFonts w:eastAsiaTheme="minorHAnsi" w:cs="Arial"/>
          <w:sz w:val="20"/>
          <w:szCs w:val="20"/>
        </w:rPr>
      </w:pPr>
    </w:p>
    <w:p w14:paraId="3F276D12" w14:textId="7BD4BF96" w:rsidR="0055582F" w:rsidRPr="00C21610" w:rsidRDefault="0055582F" w:rsidP="0055582F">
      <w:pPr>
        <w:spacing w:before="0" w:after="200" w:line="276" w:lineRule="auto"/>
        <w:contextualSpacing/>
        <w:rPr>
          <w:rFonts w:eastAsiaTheme="minorHAnsi" w:cs="Arial"/>
          <w:sz w:val="20"/>
          <w:szCs w:val="20"/>
        </w:rPr>
      </w:pPr>
      <w:r w:rsidRPr="00C21610">
        <w:rPr>
          <w:rFonts w:eastAsiaTheme="minorHAnsi" w:cs="Arial"/>
          <w:sz w:val="20"/>
          <w:szCs w:val="20"/>
        </w:rPr>
        <w:t xml:space="preserve">In November 2021, we completed the </w:t>
      </w:r>
      <w:proofErr w:type="spellStart"/>
      <w:r w:rsidRPr="00C21610">
        <w:rPr>
          <w:rFonts w:eastAsiaTheme="minorHAnsi" w:cs="Arial"/>
          <w:sz w:val="20"/>
          <w:szCs w:val="20"/>
        </w:rPr>
        <w:t>OneTogether</w:t>
      </w:r>
      <w:proofErr w:type="spellEnd"/>
      <w:r w:rsidRPr="00C21610">
        <w:rPr>
          <w:rFonts w:eastAsiaTheme="minorHAnsi" w:cs="Arial"/>
          <w:sz w:val="20"/>
          <w:szCs w:val="20"/>
        </w:rPr>
        <w:t xml:space="preserve"> assessment as it gave us the opportunity to assess and monitor standards of practice along the patients’ surgical journey.  This has enabled us to identify areas for improvement</w:t>
      </w:r>
      <w:r w:rsidR="002B7CA7" w:rsidRPr="00C21610">
        <w:rPr>
          <w:rFonts w:eastAsiaTheme="minorHAnsi" w:cs="Arial"/>
          <w:sz w:val="20"/>
          <w:szCs w:val="20"/>
        </w:rPr>
        <w:t>;</w:t>
      </w:r>
      <w:r w:rsidRPr="00C21610">
        <w:rPr>
          <w:rFonts w:eastAsiaTheme="minorHAnsi" w:cs="Arial"/>
          <w:sz w:val="20"/>
          <w:szCs w:val="20"/>
        </w:rPr>
        <w:t xml:space="preserve"> and with the implementation of a surgical site infection prevention working group (SSIPWG)</w:t>
      </w:r>
      <w:r w:rsidR="002B7CA7" w:rsidRPr="00C21610">
        <w:rPr>
          <w:rFonts w:eastAsiaTheme="minorHAnsi" w:cs="Arial"/>
          <w:sz w:val="20"/>
          <w:szCs w:val="20"/>
        </w:rPr>
        <w:t xml:space="preserve">, actions were identified and completed.  </w:t>
      </w:r>
    </w:p>
    <w:p w14:paraId="7620C1E8" w14:textId="77777777" w:rsidR="0055582F" w:rsidRPr="00C21610" w:rsidRDefault="0055582F" w:rsidP="0055582F">
      <w:pPr>
        <w:spacing w:before="0" w:after="200"/>
        <w:contextualSpacing/>
        <w:rPr>
          <w:rFonts w:eastAsiaTheme="minorHAnsi" w:cs="Arial"/>
          <w:sz w:val="20"/>
          <w:szCs w:val="20"/>
        </w:rPr>
      </w:pPr>
    </w:p>
    <w:p w14:paraId="533BDC47" w14:textId="4C447B49" w:rsidR="007D2EDC" w:rsidRPr="00C21610" w:rsidRDefault="007D2EDC" w:rsidP="0055582F">
      <w:pPr>
        <w:spacing w:before="0" w:after="200"/>
        <w:contextualSpacing/>
        <w:rPr>
          <w:rFonts w:eastAsiaTheme="minorHAnsi" w:cs="Arial"/>
          <w:kern w:val="2"/>
          <w:sz w:val="20"/>
          <w:szCs w:val="20"/>
          <w14:ligatures w14:val="standardContextual"/>
        </w:rPr>
      </w:pPr>
      <w:r w:rsidRPr="00C21610">
        <w:rPr>
          <w:rFonts w:eastAsiaTheme="minorHAnsi" w:cs="Arial"/>
          <w:kern w:val="2"/>
          <w:sz w:val="20"/>
          <w:szCs w:val="20"/>
          <w14:ligatures w14:val="standardContextual"/>
        </w:rPr>
        <w:t xml:space="preserve">The Trust showed remarkable improvements in its compliance to the IPC led </w:t>
      </w:r>
      <w:proofErr w:type="spellStart"/>
      <w:r w:rsidRPr="00C21610">
        <w:rPr>
          <w:rFonts w:eastAsiaTheme="minorHAnsi" w:cs="Arial"/>
          <w:kern w:val="2"/>
          <w:sz w:val="20"/>
          <w:szCs w:val="20"/>
          <w14:ligatures w14:val="standardContextual"/>
        </w:rPr>
        <w:t>OneTogether</w:t>
      </w:r>
      <w:proofErr w:type="spellEnd"/>
      <w:r w:rsidRPr="00C21610">
        <w:rPr>
          <w:rFonts w:eastAsiaTheme="minorHAnsi" w:cs="Arial"/>
          <w:kern w:val="2"/>
          <w:sz w:val="20"/>
          <w:szCs w:val="20"/>
          <w14:ligatures w14:val="standardContextual"/>
        </w:rPr>
        <w:t xml:space="preserve"> assessment of the surgical pathway, with a compliance score of 95% compared to 63% in 2021.</w:t>
      </w:r>
      <w:r w:rsidR="002B7CA7" w:rsidRPr="00C21610">
        <w:rPr>
          <w:rFonts w:eastAsiaTheme="minorHAnsi" w:cs="Arial"/>
          <w:kern w:val="2"/>
          <w:sz w:val="20"/>
          <w:szCs w:val="20"/>
          <w14:ligatures w14:val="standardContextual"/>
        </w:rPr>
        <w:t xml:space="preserve">  Improvements have been made in relation to standard operating procedures that clearly define expected standards.  This accounted for the majority of the increased compliance scores, as standards in practice were consistently high in both 2021 and 2023 assessments. </w:t>
      </w:r>
      <w:r w:rsidRPr="00C21610">
        <w:rPr>
          <w:rFonts w:eastAsiaTheme="minorHAnsi" w:cs="Arial"/>
          <w:kern w:val="2"/>
          <w:sz w:val="20"/>
          <w:szCs w:val="20"/>
          <w14:ligatures w14:val="standardContextual"/>
        </w:rPr>
        <w:t xml:space="preserve"> </w:t>
      </w:r>
    </w:p>
    <w:p w14:paraId="1DC0EDFC" w14:textId="21117BE4" w:rsidR="002B7CA7" w:rsidRPr="00CC1B6B" w:rsidRDefault="007D2EDC" w:rsidP="00CC1B6B">
      <w:pPr>
        <w:spacing w:before="0" w:after="200" w:line="276" w:lineRule="auto"/>
        <w:rPr>
          <w:rFonts w:eastAsiaTheme="minorHAnsi" w:cs="Arial"/>
          <w:sz w:val="20"/>
          <w:szCs w:val="20"/>
        </w:rPr>
      </w:pPr>
      <w:r w:rsidRPr="00CC1B6B">
        <w:rPr>
          <w:rFonts w:eastAsiaTheme="minorHAnsi" w:cs="Arial"/>
          <w:sz w:val="20"/>
          <w:szCs w:val="20"/>
        </w:rPr>
        <w:t>General findings included</w:t>
      </w:r>
      <w:r w:rsidR="002B7CA7" w:rsidRPr="00CC1B6B">
        <w:rPr>
          <w:rFonts w:eastAsiaTheme="minorHAnsi" w:cs="Arial"/>
          <w:sz w:val="20"/>
          <w:szCs w:val="20"/>
        </w:rPr>
        <w:t xml:space="preserve"> from the assessment in 2023 </w:t>
      </w:r>
      <w:r w:rsidR="00CC1B6B">
        <w:rPr>
          <w:rFonts w:eastAsiaTheme="minorHAnsi" w:cs="Arial"/>
          <w:sz w:val="20"/>
          <w:szCs w:val="20"/>
        </w:rPr>
        <w:t xml:space="preserve">included </w:t>
      </w:r>
      <w:r w:rsidR="00CC1B6B">
        <w:rPr>
          <w:rFonts w:eastAsia="Times New Roman" w:cs="Arial"/>
          <w:kern w:val="24"/>
          <w:sz w:val="20"/>
          <w:szCs w:val="20"/>
          <w:lang w:eastAsia="en-GB"/>
        </w:rPr>
        <w:t>i</w:t>
      </w:r>
      <w:r w:rsidRPr="00C21610">
        <w:rPr>
          <w:rFonts w:eastAsia="Times New Roman" w:cs="Arial"/>
          <w:kern w:val="24"/>
          <w:sz w:val="20"/>
          <w:szCs w:val="20"/>
          <w:lang w:eastAsia="en-GB"/>
        </w:rPr>
        <w:t>mprovements</w:t>
      </w:r>
      <w:r w:rsidR="002B7CA7" w:rsidRPr="00C21610">
        <w:rPr>
          <w:rFonts w:eastAsia="Times New Roman" w:cs="Arial"/>
          <w:kern w:val="24"/>
          <w:sz w:val="20"/>
          <w:szCs w:val="20"/>
          <w:lang w:eastAsia="en-GB"/>
        </w:rPr>
        <w:t xml:space="preserve"> had been</w:t>
      </w:r>
      <w:r w:rsidRPr="00C21610">
        <w:rPr>
          <w:rFonts w:eastAsia="Times New Roman" w:cs="Arial"/>
          <w:kern w:val="24"/>
          <w:sz w:val="20"/>
          <w:szCs w:val="20"/>
          <w:lang w:eastAsia="en-GB"/>
        </w:rPr>
        <w:t xml:space="preserve"> made around the monitoring of patient temperature during the intr</w:t>
      </w:r>
      <w:r w:rsidR="00C34600" w:rsidRPr="00C21610">
        <w:rPr>
          <w:rFonts w:eastAsia="Times New Roman" w:cs="Arial"/>
          <w:kern w:val="24"/>
          <w:sz w:val="20"/>
          <w:szCs w:val="20"/>
          <w:lang w:eastAsia="en-GB"/>
        </w:rPr>
        <w:t>a</w:t>
      </w:r>
      <w:r w:rsidRPr="00C21610">
        <w:rPr>
          <w:rFonts w:eastAsia="Times New Roman" w:cs="Arial"/>
          <w:kern w:val="24"/>
          <w:sz w:val="20"/>
          <w:szCs w:val="20"/>
          <w:lang w:eastAsia="en-GB"/>
        </w:rPr>
        <w:t>-operative phase</w:t>
      </w:r>
      <w:r w:rsidR="00CC1B6B">
        <w:rPr>
          <w:rFonts w:eastAsia="Times New Roman" w:cs="Arial"/>
          <w:kern w:val="24"/>
          <w:sz w:val="20"/>
          <w:szCs w:val="20"/>
          <w:lang w:eastAsia="en-GB"/>
        </w:rPr>
        <w:t xml:space="preserve"> with</w:t>
      </w:r>
      <w:r w:rsidR="002B7CA7" w:rsidRPr="00C21610">
        <w:rPr>
          <w:rFonts w:eastAsia="Times New Roman" w:cs="Arial"/>
          <w:kern w:val="24"/>
          <w:sz w:val="20"/>
          <w:szCs w:val="20"/>
          <w:lang w:eastAsia="en-GB"/>
        </w:rPr>
        <w:t xml:space="preserve"> some improvements required around documentation of temperatures during surgery</w:t>
      </w:r>
      <w:r w:rsidR="00CC1B6B">
        <w:rPr>
          <w:rFonts w:eastAsia="Times New Roman" w:cs="Arial"/>
          <w:kern w:val="24"/>
          <w:sz w:val="20"/>
          <w:szCs w:val="20"/>
          <w:lang w:eastAsia="en-GB"/>
        </w:rPr>
        <w:t>.</w:t>
      </w:r>
    </w:p>
    <w:p w14:paraId="788EF962" w14:textId="38A7BA32" w:rsidR="007D2EDC" w:rsidRPr="00C21610" w:rsidRDefault="002B7CA7" w:rsidP="002B7CA7">
      <w:pPr>
        <w:spacing w:before="58"/>
        <w:contextualSpacing/>
        <w:rPr>
          <w:rFonts w:eastAsia="Times New Roman" w:cs="Arial"/>
          <w:sz w:val="20"/>
          <w:szCs w:val="20"/>
          <w:lang w:eastAsia="en-GB"/>
        </w:rPr>
      </w:pPr>
      <w:r w:rsidRPr="00C21610">
        <w:rPr>
          <w:rFonts w:eastAsia="Times New Roman" w:cs="Arial"/>
          <w:sz w:val="20"/>
          <w:szCs w:val="20"/>
          <w:lang w:eastAsia="en-GB"/>
        </w:rPr>
        <w:t xml:space="preserve">The </w:t>
      </w:r>
      <w:r w:rsidR="0081525B" w:rsidRPr="00C21610">
        <w:rPr>
          <w:rFonts w:eastAsia="Times New Roman" w:cs="Arial"/>
          <w:sz w:val="20"/>
          <w:szCs w:val="20"/>
          <w:lang w:eastAsia="en-GB"/>
        </w:rPr>
        <w:t>SSIPWG continued to meet bi-weekly throughout 2022/23 with meetings being chaired by the MSK Matron</w:t>
      </w:r>
      <w:r w:rsidR="00CC1B6B">
        <w:rPr>
          <w:rFonts w:eastAsia="Times New Roman" w:cs="Arial"/>
          <w:sz w:val="20"/>
          <w:szCs w:val="20"/>
          <w:lang w:eastAsia="en-GB"/>
        </w:rPr>
        <w:t xml:space="preserve"> to maintain pace on action completion.</w:t>
      </w:r>
      <w:r w:rsidR="0081525B" w:rsidRPr="00C21610">
        <w:rPr>
          <w:rFonts w:eastAsia="Times New Roman" w:cs="Arial"/>
          <w:sz w:val="20"/>
          <w:szCs w:val="20"/>
          <w:lang w:eastAsia="en-GB"/>
        </w:rPr>
        <w:t xml:space="preserve">  </w:t>
      </w:r>
      <w:r w:rsidR="007D2EDC" w:rsidRPr="00C21610">
        <w:rPr>
          <w:rFonts w:eastAsia="Times New Roman" w:cs="Arial"/>
          <w:kern w:val="24"/>
          <w:sz w:val="20"/>
          <w:szCs w:val="20"/>
          <w:lang w:eastAsia="en-GB"/>
        </w:rPr>
        <w:t xml:space="preserve"> </w:t>
      </w:r>
    </w:p>
    <w:p w14:paraId="7C6DCB31" w14:textId="77777777" w:rsidR="00EC0D5C" w:rsidRDefault="00EC0D5C" w:rsidP="00EC0D5C">
      <w:pPr>
        <w:rPr>
          <w:bCs/>
          <w:sz w:val="20"/>
          <w:szCs w:val="20"/>
        </w:rPr>
      </w:pPr>
    </w:p>
    <w:p w14:paraId="1B19235E" w14:textId="77777777" w:rsidR="00EC0D5C" w:rsidRDefault="00EC0D5C" w:rsidP="00EC0D5C">
      <w:pPr>
        <w:pStyle w:val="NoSpacing"/>
        <w:rPr>
          <w:rFonts w:ascii="Arial" w:hAnsi="Arial" w:cs="Arial"/>
          <w:u w:val="single"/>
        </w:rPr>
      </w:pPr>
      <w:r w:rsidRPr="007B3067">
        <w:rPr>
          <w:rFonts w:ascii="Arial" w:hAnsi="Arial" w:cs="Arial"/>
          <w:sz w:val="20"/>
          <w:szCs w:val="20"/>
          <w:u w:val="single"/>
        </w:rPr>
        <w:t xml:space="preserve">Hand Hygiene &amp; Bare Below the Elbow </w:t>
      </w:r>
    </w:p>
    <w:p w14:paraId="31D1E50A" w14:textId="77777777" w:rsidR="007B3067" w:rsidRPr="00EC0D5C" w:rsidRDefault="007B3067" w:rsidP="00EC0D5C">
      <w:pPr>
        <w:pStyle w:val="NoSpacing"/>
        <w:rPr>
          <w:rFonts w:ascii="Arial" w:hAnsi="Arial" w:cs="Arial"/>
          <w:u w:val="single"/>
        </w:rPr>
      </w:pPr>
    </w:p>
    <w:p w14:paraId="2E6E9DB3" w14:textId="2119C55F" w:rsidR="00EC0D5C" w:rsidRPr="00EC0D5C" w:rsidRDefault="00EC0D5C" w:rsidP="00EC0D5C">
      <w:pPr>
        <w:pStyle w:val="NoSpacing"/>
        <w:rPr>
          <w:rFonts w:ascii="Arial" w:hAnsi="Arial" w:cs="Arial"/>
          <w:sz w:val="20"/>
          <w:szCs w:val="20"/>
        </w:rPr>
      </w:pPr>
      <w:r w:rsidRPr="00EC0D5C">
        <w:rPr>
          <w:rFonts w:ascii="Arial" w:hAnsi="Arial" w:cs="Arial"/>
          <w:sz w:val="20"/>
          <w:szCs w:val="20"/>
        </w:rPr>
        <w:t xml:space="preserve">In May </w:t>
      </w:r>
      <w:proofErr w:type="gramStart"/>
      <w:r w:rsidRPr="00EC0D5C">
        <w:rPr>
          <w:rFonts w:ascii="Arial" w:hAnsi="Arial" w:cs="Arial"/>
          <w:sz w:val="20"/>
          <w:szCs w:val="20"/>
        </w:rPr>
        <w:t>22  hand</w:t>
      </w:r>
      <w:proofErr w:type="gramEnd"/>
      <w:r w:rsidRPr="00EC0D5C">
        <w:rPr>
          <w:rFonts w:ascii="Arial" w:hAnsi="Arial" w:cs="Arial"/>
          <w:sz w:val="20"/>
          <w:szCs w:val="20"/>
        </w:rPr>
        <w:t xml:space="preserve"> hygiene training was uploaded to ESR as a mandatory module for all staff in order to monitor hand hygiene competencies.  Compliance to this training was monitored in line with all other mandatory training modules by the Learning &amp; Development Team. Staff training compliance </w:t>
      </w:r>
      <w:r w:rsidR="00877E37">
        <w:rPr>
          <w:rFonts w:ascii="Arial" w:hAnsi="Arial" w:cs="Arial"/>
          <w:sz w:val="20"/>
          <w:szCs w:val="20"/>
        </w:rPr>
        <w:t xml:space="preserve">is </w:t>
      </w:r>
      <w:r w:rsidRPr="00EC0D5C">
        <w:rPr>
          <w:rFonts w:ascii="Arial" w:hAnsi="Arial" w:cs="Arial"/>
          <w:sz w:val="20"/>
          <w:szCs w:val="20"/>
        </w:rPr>
        <w:t xml:space="preserve">circulated to managers and full report </w:t>
      </w:r>
      <w:r w:rsidR="00877E37">
        <w:rPr>
          <w:rFonts w:ascii="Arial" w:hAnsi="Arial" w:cs="Arial"/>
          <w:sz w:val="20"/>
          <w:szCs w:val="20"/>
        </w:rPr>
        <w:t xml:space="preserve">is </w:t>
      </w:r>
      <w:r w:rsidRPr="00EC0D5C">
        <w:rPr>
          <w:rFonts w:ascii="Arial" w:hAnsi="Arial" w:cs="Arial"/>
          <w:sz w:val="20"/>
          <w:szCs w:val="20"/>
        </w:rPr>
        <w:t>presented to the Infection Control &amp; Cleanliness Committee.</w:t>
      </w:r>
    </w:p>
    <w:p w14:paraId="253AAD87" w14:textId="77777777" w:rsidR="00EC0D5C" w:rsidRPr="00EC0D5C" w:rsidRDefault="00EC0D5C" w:rsidP="00B77A4F">
      <w:pPr>
        <w:pStyle w:val="Table-text"/>
        <w:rPr>
          <w:color w:val="548DD4" w:themeColor="text2" w:themeTint="99"/>
          <w:sz w:val="22"/>
          <w:u w:val="single"/>
        </w:rPr>
      </w:pPr>
    </w:p>
    <w:p w14:paraId="3EDD6416" w14:textId="7EA678C3" w:rsidR="00B77A4F" w:rsidRPr="00C21610" w:rsidRDefault="00B77A4F" w:rsidP="00B77A4F">
      <w:pPr>
        <w:pStyle w:val="Table-text"/>
        <w:rPr>
          <w:noProof/>
        </w:rPr>
      </w:pPr>
      <w:r w:rsidRPr="00C21610">
        <w:rPr>
          <w:szCs w:val="20"/>
        </w:rPr>
        <w:t>In resp</w:t>
      </w:r>
      <w:r w:rsidRPr="00C21610">
        <w:rPr>
          <w:noProof/>
        </w:rPr>
        <w:t xml:space="preserve">onse to </w:t>
      </w:r>
      <w:r w:rsidR="00877E37" w:rsidRPr="00C21610">
        <w:rPr>
          <w:noProof/>
        </w:rPr>
        <w:t>low</w:t>
      </w:r>
      <w:r w:rsidR="00C21610" w:rsidRPr="00C21610">
        <w:rPr>
          <w:noProof/>
        </w:rPr>
        <w:t xml:space="preserve"> </w:t>
      </w:r>
      <w:r w:rsidRPr="00C21610">
        <w:rPr>
          <w:noProof/>
        </w:rPr>
        <w:t>compliance reported for 2021-22 relating to hand hygiene technique</w:t>
      </w:r>
      <w:r w:rsidR="00617E2C" w:rsidRPr="00C21610">
        <w:rPr>
          <w:noProof/>
        </w:rPr>
        <w:t>,</w:t>
      </w:r>
      <w:r w:rsidR="00EC0D5C" w:rsidRPr="00C21610">
        <w:rPr>
          <w:noProof/>
        </w:rPr>
        <w:t xml:space="preserve"> our IPC Support Worker</w:t>
      </w:r>
      <w:r w:rsidRPr="00C21610">
        <w:rPr>
          <w:noProof/>
        </w:rPr>
        <w:t xml:space="preserve"> </w:t>
      </w:r>
      <w:r w:rsidR="00EC0D5C" w:rsidRPr="00C21610">
        <w:rPr>
          <w:noProof/>
        </w:rPr>
        <w:t xml:space="preserve">Will Walter </w:t>
      </w:r>
      <w:r w:rsidRPr="00C21610">
        <w:rPr>
          <w:noProof/>
        </w:rPr>
        <w:t>implement</w:t>
      </w:r>
      <w:r w:rsidR="00EC0D5C" w:rsidRPr="00C21610">
        <w:rPr>
          <w:noProof/>
        </w:rPr>
        <w:t>ed</w:t>
      </w:r>
      <w:r w:rsidRPr="00C21610">
        <w:rPr>
          <w:noProof/>
        </w:rPr>
        <w:t xml:space="preserve"> a programme of hand washing assessments to suport staff to obtain full hand hygiene comp</w:t>
      </w:r>
      <w:r w:rsidR="00D57159" w:rsidRPr="00C21610">
        <w:rPr>
          <w:noProof/>
        </w:rPr>
        <w:t>e</w:t>
      </w:r>
      <w:r w:rsidRPr="00C21610">
        <w:rPr>
          <w:noProof/>
        </w:rPr>
        <w:t xml:space="preserve">tency. </w:t>
      </w:r>
    </w:p>
    <w:p w14:paraId="4E5583F2" w14:textId="13D6B0DB" w:rsidR="00B77A4F" w:rsidRPr="00C21610" w:rsidRDefault="00B77A4F" w:rsidP="00B77A4F">
      <w:pPr>
        <w:pStyle w:val="Table-text"/>
        <w:rPr>
          <w:noProof/>
        </w:rPr>
      </w:pPr>
      <w:r w:rsidRPr="00C21610">
        <w:rPr>
          <w:noProof/>
        </w:rPr>
        <w:t xml:space="preserve">Since commencement in post in May 22, The Trust </w:t>
      </w:r>
      <w:r w:rsidR="00D719A7" w:rsidRPr="00C21610">
        <w:rPr>
          <w:noProof/>
        </w:rPr>
        <w:t>began to report a significant increase in compliance scores for this module. As shown in the graph below the Trust continued to main</w:t>
      </w:r>
      <w:r w:rsidR="00DB7E81" w:rsidRPr="00C21610">
        <w:rPr>
          <w:noProof/>
        </w:rPr>
        <w:t>tai</w:t>
      </w:r>
      <w:r w:rsidR="00D719A7" w:rsidRPr="00C21610">
        <w:rPr>
          <w:noProof/>
        </w:rPr>
        <w:t xml:space="preserve">n and report a </w:t>
      </w:r>
      <w:r w:rsidRPr="00C21610">
        <w:rPr>
          <w:noProof/>
        </w:rPr>
        <w:t xml:space="preserve">positive trajectory </w:t>
      </w:r>
      <w:r w:rsidR="00D719A7" w:rsidRPr="00C21610">
        <w:rPr>
          <w:noProof/>
        </w:rPr>
        <w:t xml:space="preserve">to hand hygiene training for clinical and non clinical staff throughout the year. </w:t>
      </w:r>
      <w:r w:rsidR="00BC3958" w:rsidRPr="00C21610">
        <w:rPr>
          <w:noProof/>
        </w:rPr>
        <w:t>Will continues to support clinical areas in leading on their hand hygiene competencies to maintain excellent compliance to our high standards.</w:t>
      </w:r>
    </w:p>
    <w:p w14:paraId="01B11B8B" w14:textId="77B30F42" w:rsidR="005A0C69" w:rsidRPr="009D1EC4" w:rsidRDefault="00DC454E" w:rsidP="00D57159">
      <w:pPr>
        <w:jc w:val="center"/>
        <w:rPr>
          <w:bCs/>
          <w:sz w:val="20"/>
          <w:szCs w:val="20"/>
        </w:rPr>
      </w:pPr>
      <w:r>
        <w:rPr>
          <w:noProof/>
        </w:rPr>
        <w:drawing>
          <wp:inline distT="0" distB="0" distL="0" distR="0" wp14:anchorId="2B5D4FEA" wp14:editId="06F8FA9F">
            <wp:extent cx="5854148" cy="2122612"/>
            <wp:effectExtent l="0" t="0" r="0" b="0"/>
            <wp:docPr id="26" name="Chart 26">
              <a:extLst xmlns:a="http://schemas.openxmlformats.org/drawingml/2006/main">
                <a:ext uri="{FF2B5EF4-FFF2-40B4-BE49-F238E27FC236}">
                  <a16:creationId xmlns:a16="http://schemas.microsoft.com/office/drawing/2014/main" id="{00000000-0008-0000-1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B8CA1C" w14:textId="0B37190E" w:rsidR="0013513C" w:rsidRDefault="0013513C" w:rsidP="00993128">
      <w:pPr>
        <w:rPr>
          <w:b/>
          <w:sz w:val="22"/>
        </w:rPr>
      </w:pPr>
    </w:p>
    <w:p w14:paraId="19F7BEA4" w14:textId="77777777" w:rsidR="00524888" w:rsidRDefault="00524888" w:rsidP="00993128">
      <w:pPr>
        <w:rPr>
          <w:b/>
          <w:sz w:val="22"/>
        </w:rPr>
      </w:pPr>
    </w:p>
    <w:p w14:paraId="6A61BED8" w14:textId="77777777" w:rsidR="00CE0762" w:rsidRDefault="00CE0762" w:rsidP="00993128">
      <w:pPr>
        <w:rPr>
          <w:b/>
          <w:sz w:val="22"/>
        </w:rPr>
      </w:pPr>
    </w:p>
    <w:p w14:paraId="252D339A" w14:textId="77777777" w:rsidR="00CE0762" w:rsidRDefault="00CE0762" w:rsidP="00993128">
      <w:pPr>
        <w:rPr>
          <w:b/>
          <w:sz w:val="22"/>
        </w:rPr>
      </w:pPr>
    </w:p>
    <w:p w14:paraId="671D051D" w14:textId="77777777" w:rsidR="00CE0762" w:rsidRDefault="00CE0762" w:rsidP="00993128">
      <w:pPr>
        <w:rPr>
          <w:b/>
          <w:sz w:val="22"/>
        </w:rPr>
      </w:pPr>
    </w:p>
    <w:p w14:paraId="28BE64C5" w14:textId="2877F814" w:rsidR="00586C09" w:rsidRPr="00284DE7" w:rsidRDefault="00CC053F" w:rsidP="00284DE7">
      <w:pPr>
        <w:rPr>
          <w:b/>
        </w:rPr>
      </w:pPr>
      <w:r w:rsidRPr="00284DE7">
        <w:rPr>
          <w:b/>
        </w:rPr>
        <w:t xml:space="preserve">Criterion 2: Provide and maintain a clean and appropriate </w:t>
      </w:r>
      <w:proofErr w:type="gramStart"/>
      <w:r w:rsidRPr="00284DE7">
        <w:rPr>
          <w:b/>
        </w:rPr>
        <w:t>environment</w:t>
      </w:r>
      <w:proofErr w:type="gramEnd"/>
      <w:r w:rsidRPr="00284DE7">
        <w:rPr>
          <w:b/>
        </w:rPr>
        <w:t xml:space="preserve"> </w:t>
      </w:r>
    </w:p>
    <w:p w14:paraId="147F38B9" w14:textId="77777777" w:rsidR="00EC012C" w:rsidRDefault="00EC012C" w:rsidP="00EC012C">
      <w:pPr>
        <w:rPr>
          <w:sz w:val="20"/>
          <w:szCs w:val="20"/>
        </w:rPr>
      </w:pPr>
      <w:r w:rsidRPr="009E5FF4">
        <w:rPr>
          <w:sz w:val="20"/>
          <w:szCs w:val="20"/>
        </w:rPr>
        <w:t>The Trust understands the importance of a clean, appropriate environment and focuses on providing excellent outcomes.</w:t>
      </w:r>
    </w:p>
    <w:p w14:paraId="6FAFD0E5" w14:textId="77777777" w:rsidR="00EC012C" w:rsidRPr="009E5FF4" w:rsidRDefault="00EC012C" w:rsidP="00EC012C">
      <w:pPr>
        <w:rPr>
          <w:sz w:val="20"/>
          <w:szCs w:val="20"/>
        </w:rPr>
      </w:pPr>
    </w:p>
    <w:p w14:paraId="46EDCA2A" w14:textId="77777777" w:rsidR="00EC012C" w:rsidRPr="001E3AC3" w:rsidRDefault="00EC012C" w:rsidP="00EC012C">
      <w:pPr>
        <w:rPr>
          <w:b/>
          <w:sz w:val="20"/>
          <w:szCs w:val="20"/>
          <w:u w:val="single"/>
        </w:rPr>
      </w:pPr>
      <w:r w:rsidRPr="001E3AC3">
        <w:rPr>
          <w:b/>
          <w:sz w:val="20"/>
          <w:szCs w:val="20"/>
          <w:u w:val="single"/>
        </w:rPr>
        <w:t>Cleanliness</w:t>
      </w:r>
    </w:p>
    <w:p w14:paraId="2B719988" w14:textId="77777777" w:rsidR="00EC012C" w:rsidRDefault="00EC012C" w:rsidP="00EC012C">
      <w:pPr>
        <w:rPr>
          <w:sz w:val="20"/>
          <w:szCs w:val="20"/>
        </w:rPr>
      </w:pPr>
      <w:r w:rsidRPr="009E5FF4">
        <w:rPr>
          <w:sz w:val="20"/>
          <w:szCs w:val="20"/>
        </w:rPr>
        <w:t xml:space="preserve">Cleaning is provided by the Trust’s in-house team of cleaners and deep cleaners; the internal team is supported by external window cleaners and pest control operatives. Cleaning staff are allocated to their own area, giving them ownership of the standard; the number of hours for each area is determined by the Credits for Cleaning information system, with further input from local stakeholders, on a risk adjusted basis. </w:t>
      </w:r>
    </w:p>
    <w:p w14:paraId="401BBBF1" w14:textId="4F10F2E7" w:rsidR="00EC012C" w:rsidRDefault="00EC012C" w:rsidP="00EC012C">
      <w:pPr>
        <w:rPr>
          <w:sz w:val="20"/>
          <w:szCs w:val="20"/>
        </w:rPr>
      </w:pPr>
      <w:r>
        <w:rPr>
          <w:sz w:val="20"/>
          <w:szCs w:val="20"/>
        </w:rPr>
        <w:t xml:space="preserve">Following a successful business case, which included a review of current standards and practices in line with NHSE/I action plans, a benchmarking exercise with reference peer Trusts and an options appraisal, in December 2022 ward housekeepers were introduced to the Trust. A hybrid role, new to RJAH, these staff professionally report to facilities and have been seen as a key enabler to maintaining a tidy clinical environment which facilitates effective cleaning. In addition to ward housekeepers, investment in the deep cleaning </w:t>
      </w:r>
      <w:r w:rsidR="00947FA6">
        <w:rPr>
          <w:sz w:val="20"/>
          <w:szCs w:val="20"/>
        </w:rPr>
        <w:t xml:space="preserve">Patient Environment Action Team </w:t>
      </w:r>
      <w:r>
        <w:rPr>
          <w:sz w:val="20"/>
          <w:szCs w:val="20"/>
        </w:rPr>
        <w:t xml:space="preserve">(PEAT) afforded 2 additional members of staff, with the team now covering 7am – midnight, supporting cleanliness technicians with enhanced cleaning, ad hoc </w:t>
      </w:r>
      <w:proofErr w:type="gramStart"/>
      <w:r>
        <w:rPr>
          <w:sz w:val="20"/>
          <w:szCs w:val="20"/>
        </w:rPr>
        <w:t>response</w:t>
      </w:r>
      <w:proofErr w:type="gramEnd"/>
      <w:r>
        <w:rPr>
          <w:sz w:val="20"/>
          <w:szCs w:val="20"/>
        </w:rPr>
        <w:t xml:space="preserve"> and periodic equipment cleaning. </w:t>
      </w:r>
    </w:p>
    <w:p w14:paraId="0305D59C" w14:textId="77777777" w:rsidR="00EC012C" w:rsidRDefault="00EC012C" w:rsidP="00EC012C">
      <w:pPr>
        <w:rPr>
          <w:sz w:val="20"/>
          <w:szCs w:val="20"/>
        </w:rPr>
      </w:pPr>
      <w:r w:rsidRPr="009E5FF4">
        <w:rPr>
          <w:sz w:val="20"/>
          <w:szCs w:val="20"/>
        </w:rPr>
        <w:t xml:space="preserve">Outcomes for cleaning continued to be monitored internally throughout the year. External and patient led monitoring, including PLACE assessment, </w:t>
      </w:r>
      <w:r>
        <w:rPr>
          <w:sz w:val="20"/>
          <w:szCs w:val="20"/>
        </w:rPr>
        <w:t xml:space="preserve">returned following a </w:t>
      </w:r>
      <w:proofErr w:type="gramStart"/>
      <w:r>
        <w:rPr>
          <w:sz w:val="20"/>
          <w:szCs w:val="20"/>
        </w:rPr>
        <w:t>National</w:t>
      </w:r>
      <w:proofErr w:type="gramEnd"/>
      <w:r>
        <w:rPr>
          <w:sz w:val="20"/>
          <w:szCs w:val="20"/>
        </w:rPr>
        <w:t xml:space="preserve"> pause of assessments during the pandemic. </w:t>
      </w:r>
    </w:p>
    <w:p w14:paraId="11E078F9" w14:textId="77777777" w:rsidR="00EC012C" w:rsidRPr="009E5FF4" w:rsidRDefault="00EC012C" w:rsidP="00EC012C">
      <w:pPr>
        <w:rPr>
          <w:sz w:val="20"/>
          <w:szCs w:val="20"/>
        </w:rPr>
      </w:pPr>
    </w:p>
    <w:p w14:paraId="6B8D9DE2" w14:textId="77777777" w:rsidR="00EC012C" w:rsidRPr="001E3AC3" w:rsidRDefault="00EC012C" w:rsidP="00EC012C">
      <w:pPr>
        <w:rPr>
          <w:b/>
          <w:sz w:val="20"/>
          <w:szCs w:val="20"/>
          <w:u w:val="single"/>
        </w:rPr>
      </w:pPr>
      <w:r w:rsidRPr="001E3AC3">
        <w:rPr>
          <w:b/>
          <w:sz w:val="20"/>
          <w:szCs w:val="20"/>
          <w:u w:val="single"/>
        </w:rPr>
        <w:t>Cleanliness – Deep Cleaning</w:t>
      </w:r>
    </w:p>
    <w:p w14:paraId="32EEC523" w14:textId="77777777" w:rsidR="00EC012C" w:rsidRPr="009E5FF4" w:rsidRDefault="00EC012C" w:rsidP="00EC012C">
      <w:pPr>
        <w:rPr>
          <w:sz w:val="20"/>
          <w:szCs w:val="20"/>
        </w:rPr>
      </w:pPr>
      <w:r w:rsidRPr="009E5FF4">
        <w:rPr>
          <w:sz w:val="20"/>
          <w:szCs w:val="20"/>
        </w:rPr>
        <w:t xml:space="preserve">Whilst routine cleaning is completed in all areas </w:t>
      </w:r>
      <w:proofErr w:type="gramStart"/>
      <w:r w:rsidRPr="009E5FF4">
        <w:rPr>
          <w:sz w:val="20"/>
          <w:szCs w:val="20"/>
        </w:rPr>
        <w:t>on a daily basis</w:t>
      </w:r>
      <w:proofErr w:type="gramEnd"/>
      <w:r w:rsidRPr="009E5FF4">
        <w:rPr>
          <w:sz w:val="20"/>
          <w:szCs w:val="20"/>
        </w:rPr>
        <w:t>, staff in high-risk areas are supported with extra staff to complete a deep clean on a weekly basis. In the very high-risk area of theatres there is a rolling deep clean programme that runs alongside the routine clean; cleaning in these areas is completed over night, when the theatres are not in use, to provide the most effective service.</w:t>
      </w:r>
    </w:p>
    <w:p w14:paraId="0D0DA80F" w14:textId="77777777" w:rsidR="00EC012C" w:rsidRPr="009E5FF4" w:rsidRDefault="00EC012C" w:rsidP="00EC012C">
      <w:pPr>
        <w:spacing w:after="240"/>
        <w:rPr>
          <w:rFonts w:eastAsia="Arial" w:cs="Arial"/>
          <w:color w:val="4F81BD" w:themeColor="accent1"/>
          <w:sz w:val="20"/>
          <w:szCs w:val="20"/>
        </w:rPr>
      </w:pPr>
      <w:r w:rsidRPr="009E5FF4">
        <w:rPr>
          <w:sz w:val="20"/>
          <w:szCs w:val="20"/>
        </w:rPr>
        <w:t>The Trust recognises the potential need to employ the use of technologies such as hydrogen peroxide vapour for the fogging of facilities and equipment in certain circumstances, as specified by the Infection Control Policy, room cleaning is completed as below:</w:t>
      </w:r>
    </w:p>
    <w:p w14:paraId="5FF500D8" w14:textId="77777777" w:rsidR="00EC012C" w:rsidRPr="009E5FF4" w:rsidRDefault="00EC012C" w:rsidP="009D6D0B">
      <w:pPr>
        <w:pStyle w:val="ListParagraph"/>
        <w:widowControl w:val="0"/>
        <w:numPr>
          <w:ilvl w:val="0"/>
          <w:numId w:val="7"/>
        </w:numPr>
        <w:spacing w:before="0"/>
        <w:ind w:right="-46"/>
        <w:rPr>
          <w:rFonts w:eastAsia="Arial" w:cs="Arial"/>
          <w:color w:val="4F81BD" w:themeColor="accent1"/>
          <w:sz w:val="20"/>
          <w:szCs w:val="20"/>
        </w:rPr>
      </w:pPr>
      <w:r w:rsidRPr="009E5FF4">
        <w:rPr>
          <w:rFonts w:eastAsia="Arial" w:cs="Arial"/>
          <w:color w:val="00B050"/>
          <w:sz w:val="20"/>
          <w:szCs w:val="20"/>
        </w:rPr>
        <w:t>Green</w:t>
      </w:r>
      <w:r w:rsidRPr="009E5FF4">
        <w:rPr>
          <w:rFonts w:eastAsia="Arial" w:cs="Arial"/>
          <w:color w:val="4F81BD" w:themeColor="accent1"/>
          <w:sz w:val="20"/>
          <w:szCs w:val="20"/>
        </w:rPr>
        <w:t xml:space="preserve"> </w:t>
      </w:r>
      <w:r w:rsidRPr="009E5FF4">
        <w:rPr>
          <w:rFonts w:eastAsia="Arial" w:cs="Arial"/>
          <w:sz w:val="20"/>
          <w:szCs w:val="20"/>
        </w:rPr>
        <w:t xml:space="preserve">– Standard daily clean using detergent </w:t>
      </w:r>
    </w:p>
    <w:p w14:paraId="552E3D8D" w14:textId="77777777" w:rsidR="00EC012C" w:rsidRPr="009E5FF4" w:rsidRDefault="00EC012C" w:rsidP="009D6D0B">
      <w:pPr>
        <w:pStyle w:val="ListParagraph"/>
        <w:widowControl w:val="0"/>
        <w:numPr>
          <w:ilvl w:val="0"/>
          <w:numId w:val="7"/>
        </w:numPr>
        <w:spacing w:before="0"/>
        <w:ind w:right="-46"/>
        <w:rPr>
          <w:rFonts w:eastAsia="Arial" w:cs="Arial"/>
          <w:sz w:val="20"/>
          <w:szCs w:val="20"/>
        </w:rPr>
      </w:pPr>
      <w:r w:rsidRPr="009E5FF4">
        <w:rPr>
          <w:rFonts w:eastAsia="Arial" w:cs="Arial"/>
          <w:color w:val="F79646" w:themeColor="accent6"/>
          <w:sz w:val="20"/>
          <w:szCs w:val="20"/>
        </w:rPr>
        <w:t>Amber</w:t>
      </w:r>
      <w:r w:rsidRPr="009E5FF4">
        <w:rPr>
          <w:rFonts w:eastAsia="Arial" w:cs="Arial"/>
          <w:color w:val="4F81BD" w:themeColor="accent1"/>
          <w:sz w:val="20"/>
          <w:szCs w:val="20"/>
        </w:rPr>
        <w:t xml:space="preserve"> </w:t>
      </w:r>
      <w:r w:rsidRPr="009E5FF4">
        <w:rPr>
          <w:rFonts w:eastAsia="Arial" w:cs="Arial"/>
          <w:sz w:val="20"/>
          <w:szCs w:val="20"/>
        </w:rPr>
        <w:t xml:space="preserve">– Terminal clean using 1000 ppm Chlorine Based Agent </w:t>
      </w:r>
    </w:p>
    <w:p w14:paraId="69FC3751" w14:textId="77777777" w:rsidR="00EC012C" w:rsidRPr="009E5FF4" w:rsidRDefault="00EC012C" w:rsidP="009D6D0B">
      <w:pPr>
        <w:pStyle w:val="ListParagraph"/>
        <w:widowControl w:val="0"/>
        <w:numPr>
          <w:ilvl w:val="0"/>
          <w:numId w:val="7"/>
        </w:numPr>
        <w:spacing w:before="0"/>
        <w:ind w:right="-46"/>
        <w:rPr>
          <w:rFonts w:eastAsia="Arial" w:cs="Arial"/>
          <w:color w:val="4F81BD" w:themeColor="accent1"/>
          <w:sz w:val="20"/>
          <w:szCs w:val="20"/>
        </w:rPr>
      </w:pPr>
      <w:r w:rsidRPr="009E5FF4">
        <w:rPr>
          <w:rFonts w:eastAsia="Arial" w:cs="Arial"/>
          <w:color w:val="FF0000"/>
          <w:sz w:val="20"/>
          <w:szCs w:val="20"/>
        </w:rPr>
        <w:t xml:space="preserve">Red </w:t>
      </w:r>
      <w:r w:rsidRPr="009E5FF4">
        <w:rPr>
          <w:rFonts w:eastAsia="Arial" w:cs="Arial"/>
          <w:sz w:val="20"/>
          <w:szCs w:val="20"/>
        </w:rPr>
        <w:t>– Terminal clean using 1000 ppm Chlorine Based Agent followed by HPV fogging</w:t>
      </w:r>
    </w:p>
    <w:p w14:paraId="0BE30A40" w14:textId="77777777" w:rsidR="00EC012C" w:rsidRPr="009E5FF4" w:rsidRDefault="00EC012C" w:rsidP="00EC012C">
      <w:pPr>
        <w:widowControl w:val="0"/>
        <w:spacing w:before="0"/>
        <w:ind w:right="-46"/>
        <w:rPr>
          <w:sz w:val="20"/>
          <w:szCs w:val="20"/>
        </w:rPr>
      </w:pPr>
      <w:r w:rsidRPr="009E5FF4">
        <w:rPr>
          <w:rFonts w:eastAsia="Arial" w:cs="Arial"/>
          <w:sz w:val="20"/>
          <w:szCs w:val="20"/>
        </w:rPr>
        <w:t>This protocol has ensured that there are no delays in the provision of enhanced cleaning whilst clinical sign off is sought.</w:t>
      </w:r>
      <w:r w:rsidRPr="009E5FF4">
        <w:rPr>
          <w:rFonts w:eastAsia="Arial" w:cs="Arial"/>
          <w:color w:val="4F81BD" w:themeColor="accent1"/>
          <w:sz w:val="20"/>
          <w:szCs w:val="20"/>
        </w:rPr>
        <w:t xml:space="preserve"> </w:t>
      </w:r>
    </w:p>
    <w:p w14:paraId="200CFB57" w14:textId="77777777" w:rsidR="00EC012C" w:rsidRPr="009E5FF4" w:rsidRDefault="00EC012C" w:rsidP="00EC012C">
      <w:pPr>
        <w:rPr>
          <w:sz w:val="20"/>
          <w:szCs w:val="20"/>
        </w:rPr>
      </w:pPr>
      <w:r w:rsidRPr="009E5FF4">
        <w:rPr>
          <w:sz w:val="20"/>
          <w:szCs w:val="20"/>
        </w:rPr>
        <w:t xml:space="preserve">The Trust employed an external contractor to complete HPV fogging; responses to date have been quick, effective, and professional. </w:t>
      </w:r>
    </w:p>
    <w:p w14:paraId="2D12F406" w14:textId="77777777" w:rsidR="00EC012C" w:rsidRDefault="00EC012C" w:rsidP="00EC012C">
      <w:pPr>
        <w:rPr>
          <w:sz w:val="20"/>
          <w:szCs w:val="20"/>
        </w:rPr>
      </w:pPr>
      <w:r>
        <w:rPr>
          <w:sz w:val="20"/>
          <w:szCs w:val="20"/>
        </w:rPr>
        <w:t>29</w:t>
      </w:r>
      <w:r w:rsidRPr="009E5FF4">
        <w:rPr>
          <w:sz w:val="20"/>
          <w:szCs w:val="20"/>
        </w:rPr>
        <w:t xml:space="preserve"> individual rooms and </w:t>
      </w:r>
      <w:r>
        <w:rPr>
          <w:sz w:val="20"/>
          <w:szCs w:val="20"/>
        </w:rPr>
        <w:t>1</w:t>
      </w:r>
      <w:r w:rsidRPr="009E5FF4">
        <w:rPr>
          <w:sz w:val="20"/>
          <w:szCs w:val="20"/>
        </w:rPr>
        <w:t xml:space="preserve"> complete bay</w:t>
      </w:r>
      <w:r>
        <w:rPr>
          <w:sz w:val="20"/>
          <w:szCs w:val="20"/>
        </w:rPr>
        <w:t xml:space="preserve"> and a full ward</w:t>
      </w:r>
      <w:r w:rsidRPr="009E5FF4">
        <w:rPr>
          <w:sz w:val="20"/>
          <w:szCs w:val="20"/>
        </w:rPr>
        <w:t xml:space="preserve"> have required a red terminal clean in 202</w:t>
      </w:r>
      <w:r>
        <w:rPr>
          <w:sz w:val="20"/>
          <w:szCs w:val="20"/>
        </w:rPr>
        <w:t>2</w:t>
      </w:r>
      <w:r w:rsidRPr="009E5FF4">
        <w:rPr>
          <w:sz w:val="20"/>
          <w:szCs w:val="20"/>
        </w:rPr>
        <w:t>/2</w:t>
      </w:r>
      <w:r>
        <w:rPr>
          <w:sz w:val="20"/>
          <w:szCs w:val="20"/>
        </w:rPr>
        <w:t>3</w:t>
      </w:r>
      <w:r w:rsidRPr="009E5FF4">
        <w:rPr>
          <w:sz w:val="20"/>
          <w:szCs w:val="20"/>
        </w:rPr>
        <w:t xml:space="preserve">; in each case a stringent process of isolation is undertaken by the estates team alongside a physical clean of the environment and equipment prior to completion. </w:t>
      </w:r>
      <w:r>
        <w:rPr>
          <w:sz w:val="20"/>
          <w:szCs w:val="20"/>
        </w:rPr>
        <w:t xml:space="preserve">This represents a significant increase from 2021/22 (130%); with all red cleans this year being performed on MCSI – the Trust is now undertaking a review of options to ensure this enhanced cleaning remains fit for purpose, supported by both the Decontamination Group &amp; IPC Working Group. </w:t>
      </w:r>
    </w:p>
    <w:p w14:paraId="4B286598" w14:textId="77777777" w:rsidR="00EC012C" w:rsidRPr="009E5FF4" w:rsidRDefault="00EC012C" w:rsidP="00EC012C">
      <w:pPr>
        <w:rPr>
          <w:sz w:val="20"/>
          <w:szCs w:val="20"/>
        </w:rPr>
      </w:pPr>
    </w:p>
    <w:p w14:paraId="67CE42C5" w14:textId="77777777" w:rsidR="00EC012C" w:rsidRPr="001E3AC3" w:rsidRDefault="00EC012C" w:rsidP="00EC012C">
      <w:pPr>
        <w:rPr>
          <w:b/>
          <w:sz w:val="20"/>
          <w:szCs w:val="20"/>
          <w:u w:val="single"/>
        </w:rPr>
      </w:pPr>
      <w:r w:rsidRPr="001E3AC3">
        <w:rPr>
          <w:b/>
          <w:sz w:val="20"/>
          <w:szCs w:val="20"/>
          <w:u w:val="single"/>
        </w:rPr>
        <w:t>Cleanliness – Internal Monitoring</w:t>
      </w:r>
    </w:p>
    <w:p w14:paraId="6EE47580" w14:textId="77777777" w:rsidR="00EC012C" w:rsidRDefault="00EC012C" w:rsidP="00EC012C">
      <w:pPr>
        <w:rPr>
          <w:sz w:val="20"/>
          <w:szCs w:val="20"/>
        </w:rPr>
      </w:pPr>
      <w:r w:rsidRPr="009E5FF4">
        <w:rPr>
          <w:sz w:val="20"/>
          <w:szCs w:val="20"/>
        </w:rPr>
        <w:t xml:space="preserve">The Housekeeping Department has devised an effective sign-off sheet that allows staff to easily demonstrate the work they have completed and alert the next person on shift to any outstanding requirements. Evidence of cleaning is retained by the department and is validated by supervisor monitoring and managerial spot checks. </w:t>
      </w:r>
    </w:p>
    <w:p w14:paraId="4D7CABF5" w14:textId="77777777" w:rsidR="00EC012C" w:rsidRPr="009E5FF4" w:rsidRDefault="00EC012C" w:rsidP="00EC012C">
      <w:pPr>
        <w:jc w:val="center"/>
        <w:rPr>
          <w:sz w:val="20"/>
          <w:szCs w:val="20"/>
        </w:rPr>
      </w:pPr>
      <w:r>
        <w:rPr>
          <w:noProof/>
        </w:rPr>
        <w:lastRenderedPageBreak/>
        <w:drawing>
          <wp:inline distT="0" distB="0" distL="0" distR="0" wp14:anchorId="3723104E" wp14:editId="57355022">
            <wp:extent cx="5731510" cy="3745230"/>
            <wp:effectExtent l="0" t="0" r="2540" b="7620"/>
            <wp:docPr id="8" name="Chart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DDA49B" w14:textId="77777777" w:rsidR="00EC012C" w:rsidRDefault="00EC012C" w:rsidP="00EC012C">
      <w:pPr>
        <w:rPr>
          <w:sz w:val="20"/>
          <w:szCs w:val="20"/>
        </w:rPr>
      </w:pPr>
      <w:r w:rsidRPr="009E5FF4">
        <w:rPr>
          <w:sz w:val="20"/>
          <w:szCs w:val="20"/>
        </w:rPr>
        <w:t>Internal monitoring is carried out every day, visiting all areas on a rolling programme according to their risk.</w:t>
      </w:r>
      <w:r>
        <w:rPr>
          <w:sz w:val="20"/>
          <w:szCs w:val="20"/>
        </w:rPr>
        <w:t xml:space="preserve"> All cleanliness matters are issued within 24 hours to the relevant team, assurance is provided in relation to resolution through signed off completion. </w:t>
      </w:r>
      <w:r w:rsidRPr="009E5FF4">
        <w:rPr>
          <w:sz w:val="20"/>
          <w:szCs w:val="20"/>
        </w:rPr>
        <w:t xml:space="preserve">All required improvements identified by the audits are acted upon by the internal team and the results are reported to the Infection Prevention &amp; Control Committee on a quarterly basis, with specific action plans or failure themes managed through the Infection Prevention &amp; Control Working Group. </w:t>
      </w:r>
    </w:p>
    <w:p w14:paraId="4C00968A" w14:textId="77777777" w:rsidR="00EC012C" w:rsidRDefault="00EC012C" w:rsidP="00EC012C">
      <w:pPr>
        <w:rPr>
          <w:sz w:val="20"/>
          <w:szCs w:val="20"/>
        </w:rPr>
      </w:pPr>
      <w:r w:rsidRPr="009E5FF4">
        <w:rPr>
          <w:sz w:val="20"/>
          <w:szCs w:val="20"/>
        </w:rPr>
        <w:t>The Trust has a risk based national cleanliness target of 85%, internally the Trust has set a 94% target, for the year 202</w:t>
      </w:r>
      <w:r>
        <w:rPr>
          <w:sz w:val="20"/>
          <w:szCs w:val="20"/>
        </w:rPr>
        <w:t>2</w:t>
      </w:r>
      <w:r w:rsidRPr="009E5FF4">
        <w:rPr>
          <w:sz w:val="20"/>
          <w:szCs w:val="20"/>
        </w:rPr>
        <w:t>/2</w:t>
      </w:r>
      <w:r>
        <w:rPr>
          <w:sz w:val="20"/>
          <w:szCs w:val="20"/>
        </w:rPr>
        <w:t>3</w:t>
      </w:r>
      <w:r w:rsidRPr="009E5FF4">
        <w:rPr>
          <w:sz w:val="20"/>
          <w:szCs w:val="20"/>
        </w:rPr>
        <w:t xml:space="preserve"> the Trust achieved an average score of </w:t>
      </w:r>
      <w:r>
        <w:rPr>
          <w:sz w:val="20"/>
          <w:szCs w:val="20"/>
        </w:rPr>
        <w:t>97.85</w:t>
      </w:r>
      <w:r w:rsidRPr="009E5FF4">
        <w:rPr>
          <w:sz w:val="20"/>
          <w:szCs w:val="20"/>
        </w:rPr>
        <w:t>%.</w:t>
      </w:r>
    </w:p>
    <w:p w14:paraId="4D9C09DE" w14:textId="77777777" w:rsidR="00EC012C" w:rsidRDefault="00EC012C" w:rsidP="00EC012C">
      <w:pPr>
        <w:rPr>
          <w:sz w:val="20"/>
          <w:szCs w:val="20"/>
        </w:rPr>
      </w:pPr>
    </w:p>
    <w:p w14:paraId="76336C67" w14:textId="77777777" w:rsidR="00EC012C" w:rsidRPr="001E3AC3" w:rsidRDefault="00EC012C" w:rsidP="00EC012C">
      <w:pPr>
        <w:rPr>
          <w:b/>
          <w:bCs/>
          <w:sz w:val="20"/>
          <w:szCs w:val="20"/>
          <w:u w:val="single"/>
        </w:rPr>
      </w:pPr>
      <w:r w:rsidRPr="001E3AC3">
        <w:rPr>
          <w:b/>
          <w:bCs/>
          <w:sz w:val="20"/>
          <w:szCs w:val="20"/>
          <w:u w:val="single"/>
        </w:rPr>
        <w:t>National Standards of Cleanliness 2021</w:t>
      </w:r>
    </w:p>
    <w:p w14:paraId="2DD294B2" w14:textId="77777777" w:rsidR="00EC012C" w:rsidRDefault="00EC012C" w:rsidP="00EC012C">
      <w:pPr>
        <w:rPr>
          <w:sz w:val="20"/>
          <w:szCs w:val="20"/>
        </w:rPr>
      </w:pPr>
      <w:r>
        <w:rPr>
          <w:sz w:val="20"/>
          <w:szCs w:val="20"/>
        </w:rPr>
        <w:t xml:space="preserve">The National Standards of Healthcare Cleanliness were published in May 2021, and following a collaborative implementation process, launched at the Trust in April 2022. </w:t>
      </w:r>
    </w:p>
    <w:p w14:paraId="029F2C16" w14:textId="77777777" w:rsidR="00EC012C" w:rsidRDefault="00EC012C" w:rsidP="00EC012C">
      <w:pPr>
        <w:rPr>
          <w:sz w:val="20"/>
          <w:szCs w:val="20"/>
        </w:rPr>
      </w:pPr>
    </w:p>
    <w:p w14:paraId="2F6AFD0B" w14:textId="0A2170CD" w:rsidR="00EC012C" w:rsidRPr="001E3AC3" w:rsidRDefault="00EC012C" w:rsidP="00EC012C">
      <w:pPr>
        <w:rPr>
          <w:b/>
          <w:sz w:val="20"/>
          <w:szCs w:val="20"/>
          <w:u w:val="single"/>
        </w:rPr>
      </w:pPr>
      <w:r w:rsidRPr="001E3AC3">
        <w:rPr>
          <w:b/>
          <w:sz w:val="20"/>
          <w:szCs w:val="20"/>
          <w:u w:val="single"/>
        </w:rPr>
        <w:t>Cleanliness and Environment - Kitchen</w:t>
      </w:r>
    </w:p>
    <w:p w14:paraId="367A598E" w14:textId="3FF10CBD" w:rsidR="00EC012C" w:rsidRPr="009E5FF4" w:rsidRDefault="008B08AA" w:rsidP="00EC012C">
      <w:pPr>
        <w:rPr>
          <w:sz w:val="20"/>
          <w:szCs w:val="20"/>
        </w:rPr>
      </w:pPr>
      <w:r>
        <w:rPr>
          <w:rFonts w:cs="Arial"/>
          <w:noProof/>
          <w:color w:val="000000"/>
          <w:sz w:val="20"/>
          <w:szCs w:val="36"/>
          <w:lang w:eastAsia="en-GB"/>
        </w:rPr>
        <w:drawing>
          <wp:anchor distT="0" distB="0" distL="114300" distR="114300" simplePos="0" relativeHeight="251922432" behindDoc="1" locked="0" layoutInCell="1" allowOverlap="1" wp14:anchorId="3350135A" wp14:editId="2F3B61E0">
            <wp:simplePos x="0" y="0"/>
            <wp:positionH relativeFrom="page">
              <wp:posOffset>4312285</wp:posOffset>
            </wp:positionH>
            <wp:positionV relativeFrom="paragraph">
              <wp:posOffset>67945</wp:posOffset>
            </wp:positionV>
            <wp:extent cx="2876550" cy="1352550"/>
            <wp:effectExtent l="0" t="0" r="0" b="0"/>
            <wp:wrapTight wrapText="bothSides">
              <wp:wrapPolygon edited="0">
                <wp:start x="0" y="0"/>
                <wp:lineTo x="0" y="21296"/>
                <wp:lineTo x="21457" y="21296"/>
                <wp:lineTo x="21457" y="0"/>
                <wp:lineTo x="0" y="0"/>
              </wp:wrapPolygon>
            </wp:wrapTight>
            <wp:docPr id="14" name="Picture 14" descr="Domestics Group - Adult Inpatient Survey 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estics Group - Adult Inpatient Survey WE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6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12C" w:rsidRPr="009E5FF4">
        <w:rPr>
          <w:sz w:val="20"/>
          <w:szCs w:val="20"/>
        </w:rPr>
        <w:t xml:space="preserve">The Trust kitchen retained its 5-star food hygiene rating at last inspection in </w:t>
      </w:r>
      <w:r w:rsidR="00EC012C">
        <w:rPr>
          <w:sz w:val="20"/>
          <w:szCs w:val="20"/>
        </w:rPr>
        <w:t xml:space="preserve">November 2022, </w:t>
      </w:r>
      <w:proofErr w:type="gramStart"/>
      <w:r w:rsidR="00EC012C">
        <w:rPr>
          <w:sz w:val="20"/>
          <w:szCs w:val="20"/>
        </w:rPr>
        <w:t>which in particular, called</w:t>
      </w:r>
      <w:proofErr w:type="gramEnd"/>
      <w:r w:rsidR="00EC012C">
        <w:rPr>
          <w:sz w:val="20"/>
          <w:szCs w:val="20"/>
        </w:rPr>
        <w:t xml:space="preserve"> out the high standards of cleanliness within the Trust kitchens and maintenance of assurance records in line with HACCP principles. </w:t>
      </w:r>
    </w:p>
    <w:p w14:paraId="0ECA5CCE" w14:textId="77777777" w:rsidR="00EC012C" w:rsidRDefault="00EC012C" w:rsidP="00EC012C">
      <w:pPr>
        <w:rPr>
          <w:sz w:val="20"/>
          <w:szCs w:val="20"/>
        </w:rPr>
      </w:pPr>
      <w:r>
        <w:rPr>
          <w:sz w:val="20"/>
          <w:szCs w:val="20"/>
        </w:rPr>
        <w:t xml:space="preserve">Recommendations highlighted as part of the 2022 inspection included structural improvements within the kitchen – this was escalated through IPC working group for funding, which was approved in January 2023. </w:t>
      </w:r>
    </w:p>
    <w:p w14:paraId="0456F181" w14:textId="77777777" w:rsidR="00EC012C" w:rsidRDefault="00EC012C" w:rsidP="00EC012C">
      <w:pPr>
        <w:rPr>
          <w:sz w:val="20"/>
          <w:szCs w:val="20"/>
        </w:rPr>
      </w:pPr>
      <w:r>
        <w:rPr>
          <w:sz w:val="20"/>
          <w:szCs w:val="20"/>
        </w:rPr>
        <w:t xml:space="preserve">The onsite nursery is registered with Shropshire Council environmental </w:t>
      </w:r>
      <w:proofErr w:type="gramStart"/>
      <w:r>
        <w:rPr>
          <w:sz w:val="20"/>
          <w:szCs w:val="20"/>
        </w:rPr>
        <w:t>health, and</w:t>
      </w:r>
      <w:proofErr w:type="gramEnd"/>
      <w:r>
        <w:rPr>
          <w:sz w:val="20"/>
          <w:szCs w:val="20"/>
        </w:rPr>
        <w:t xml:space="preserve"> retained its 5-star food hygiene rating in June 2022.  </w:t>
      </w:r>
    </w:p>
    <w:p w14:paraId="167B8ADA" w14:textId="77777777" w:rsidR="00EC012C" w:rsidRPr="001E3AC3" w:rsidRDefault="00EC012C" w:rsidP="00EC012C">
      <w:pPr>
        <w:rPr>
          <w:b/>
          <w:sz w:val="20"/>
          <w:szCs w:val="20"/>
          <w:u w:val="single"/>
        </w:rPr>
      </w:pPr>
      <w:r w:rsidRPr="001E3AC3">
        <w:rPr>
          <w:b/>
          <w:sz w:val="20"/>
          <w:szCs w:val="20"/>
          <w:u w:val="single"/>
        </w:rPr>
        <w:t>CQC Inpatient Survey</w:t>
      </w:r>
    </w:p>
    <w:p w14:paraId="1C8A8E63" w14:textId="77777777" w:rsidR="00EC012C" w:rsidRPr="001E3AC3" w:rsidRDefault="00EC012C" w:rsidP="00EC012C">
      <w:pPr>
        <w:rPr>
          <w:rFonts w:cs="Arial"/>
          <w:color w:val="000000"/>
          <w:sz w:val="20"/>
          <w:szCs w:val="36"/>
        </w:rPr>
      </w:pPr>
      <w:r>
        <w:rPr>
          <w:sz w:val="20"/>
          <w:szCs w:val="20"/>
        </w:rPr>
        <w:t>The CQC Inpatient Survey 2022 results were published in September 2022, with the Trust scoring top in the country under the metric ‘</w:t>
      </w:r>
      <w:r>
        <w:rPr>
          <w:rFonts w:cs="Arial"/>
          <w:color w:val="000000"/>
          <w:sz w:val="20"/>
          <w:szCs w:val="36"/>
        </w:rPr>
        <w:t xml:space="preserve">how clean was the hospital room or ward that you were in’ with an average score of 98.87%. The consistently good results achieved through this survey are a testament to the dedication and exacting standards shown by the entire housekeeping team. </w:t>
      </w:r>
    </w:p>
    <w:p w14:paraId="0A85207E" w14:textId="77777777" w:rsidR="00EC012C" w:rsidRDefault="00EC012C" w:rsidP="00EC012C">
      <w:pPr>
        <w:rPr>
          <w:b/>
          <w:sz w:val="20"/>
          <w:szCs w:val="20"/>
        </w:rPr>
      </w:pPr>
    </w:p>
    <w:p w14:paraId="303C41EA" w14:textId="77777777" w:rsidR="00EC012C" w:rsidRPr="001E3AC3" w:rsidRDefault="00EC012C" w:rsidP="00EC012C">
      <w:pPr>
        <w:rPr>
          <w:b/>
          <w:sz w:val="20"/>
          <w:szCs w:val="20"/>
          <w:u w:val="single"/>
        </w:rPr>
      </w:pPr>
      <w:r w:rsidRPr="001E3AC3">
        <w:rPr>
          <w:b/>
          <w:sz w:val="20"/>
          <w:szCs w:val="20"/>
          <w:u w:val="single"/>
        </w:rPr>
        <w:t>PLACE – Patient Led Assessment of the Care Environment</w:t>
      </w:r>
    </w:p>
    <w:p w14:paraId="12B97412" w14:textId="77777777" w:rsidR="00EC012C" w:rsidRDefault="00EC012C" w:rsidP="00EC012C">
      <w:pPr>
        <w:rPr>
          <w:sz w:val="20"/>
          <w:szCs w:val="20"/>
        </w:rPr>
      </w:pPr>
      <w:r>
        <w:rPr>
          <w:sz w:val="20"/>
          <w:szCs w:val="20"/>
        </w:rPr>
        <w:lastRenderedPageBreak/>
        <w:t xml:space="preserve">In </w:t>
      </w:r>
      <w:r w:rsidRPr="009E5FF4">
        <w:rPr>
          <w:sz w:val="20"/>
          <w:szCs w:val="20"/>
        </w:rPr>
        <w:t>202</w:t>
      </w:r>
      <w:r>
        <w:rPr>
          <w:sz w:val="20"/>
          <w:szCs w:val="20"/>
        </w:rPr>
        <w:t xml:space="preserve">2, the </w:t>
      </w:r>
      <w:r w:rsidRPr="009E5FF4">
        <w:rPr>
          <w:sz w:val="20"/>
          <w:szCs w:val="20"/>
        </w:rPr>
        <w:t xml:space="preserve">National PLACE assessment </w:t>
      </w:r>
      <w:r>
        <w:rPr>
          <w:sz w:val="20"/>
          <w:szCs w:val="20"/>
        </w:rPr>
        <w:t xml:space="preserve">programme was reinstated following a pause in inspections during the pandemic. </w:t>
      </w:r>
    </w:p>
    <w:p w14:paraId="6FA683A5" w14:textId="77777777" w:rsidR="00EC012C" w:rsidRDefault="00EC012C" w:rsidP="00EC012C">
      <w:pPr>
        <w:spacing w:after="240"/>
        <w:rPr>
          <w:sz w:val="20"/>
          <w:szCs w:val="20"/>
        </w:rPr>
      </w:pPr>
      <w:r w:rsidRPr="008B7EDE">
        <w:rPr>
          <w:sz w:val="20"/>
          <w:szCs w:val="20"/>
        </w:rPr>
        <w:t xml:space="preserve">PLACE captures responses to questions on cleanliness; food; privacy, </w:t>
      </w:r>
      <w:proofErr w:type="gramStart"/>
      <w:r w:rsidRPr="008B7EDE">
        <w:rPr>
          <w:sz w:val="20"/>
          <w:szCs w:val="20"/>
        </w:rPr>
        <w:t>dignity</w:t>
      </w:r>
      <w:proofErr w:type="gramEnd"/>
      <w:r w:rsidRPr="008B7EDE">
        <w:rPr>
          <w:sz w:val="20"/>
          <w:szCs w:val="20"/>
        </w:rPr>
        <w:t xml:space="preserve"> and wellbeing; condition, appearance and maintenance; dementia and disability. Each year questions are updated/added to reflect what is deemed as best practice – therefore careful consideration must be given when making any comparison to previous years responses</w:t>
      </w:r>
      <w:r>
        <w:rPr>
          <w:sz w:val="20"/>
          <w:szCs w:val="20"/>
        </w:rPr>
        <w:t xml:space="preserve">, however this patient led assessment provides vital insight into the patient’s perspective of the environment. </w:t>
      </w:r>
    </w:p>
    <w:tbl>
      <w:tblPr>
        <w:tblStyle w:val="GridTable1Light"/>
        <w:tblW w:w="0" w:type="auto"/>
        <w:jc w:val="center"/>
        <w:tblLook w:val="04A0" w:firstRow="1" w:lastRow="0" w:firstColumn="1" w:lastColumn="0" w:noHBand="0" w:noVBand="1"/>
      </w:tblPr>
      <w:tblGrid>
        <w:gridCol w:w="3162"/>
        <w:gridCol w:w="1492"/>
        <w:gridCol w:w="1550"/>
        <w:gridCol w:w="1559"/>
      </w:tblGrid>
      <w:tr w:rsidR="00EC012C" w:rsidRPr="00E85ADF" w14:paraId="53F4C3F0" w14:textId="77777777" w:rsidTr="00C25B53">
        <w:trPr>
          <w:cnfStyle w:val="100000000000" w:firstRow="1" w:lastRow="0" w:firstColumn="0" w:lastColumn="0" w:oddVBand="0" w:evenVBand="0" w:oddHBand="0"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6215381E" w14:textId="77777777" w:rsidR="00EC012C" w:rsidRPr="00E85ADF" w:rsidRDefault="00EC012C" w:rsidP="00C25B53">
            <w:pPr>
              <w:jc w:val="center"/>
              <w:rPr>
                <w:sz w:val="16"/>
                <w:szCs w:val="16"/>
              </w:rPr>
            </w:pPr>
            <w:r w:rsidRPr="00E85ADF">
              <w:rPr>
                <w:sz w:val="16"/>
                <w:szCs w:val="16"/>
              </w:rPr>
              <w:t>Domain</w:t>
            </w:r>
          </w:p>
        </w:tc>
        <w:tc>
          <w:tcPr>
            <w:tcW w:w="1492" w:type="dxa"/>
            <w:vAlign w:val="center"/>
          </w:tcPr>
          <w:p w14:paraId="6316B562" w14:textId="77777777" w:rsidR="00EC012C" w:rsidRPr="00E85ADF" w:rsidRDefault="00EC012C" w:rsidP="00C25B53">
            <w:pPr>
              <w:jc w:val="center"/>
              <w:cnfStyle w:val="100000000000" w:firstRow="1" w:lastRow="0" w:firstColumn="0" w:lastColumn="0" w:oddVBand="0" w:evenVBand="0" w:oddHBand="0" w:evenHBand="0" w:firstRowFirstColumn="0" w:firstRowLastColumn="0" w:lastRowFirstColumn="0" w:lastRowLastColumn="0"/>
              <w:rPr>
                <w:sz w:val="16"/>
                <w:szCs w:val="16"/>
              </w:rPr>
            </w:pPr>
            <w:r w:rsidRPr="00E85ADF">
              <w:rPr>
                <w:sz w:val="16"/>
                <w:szCs w:val="16"/>
              </w:rPr>
              <w:t xml:space="preserve">2022 </w:t>
            </w:r>
            <w:proofErr w:type="gramStart"/>
            <w:r w:rsidRPr="00E85ADF">
              <w:rPr>
                <w:sz w:val="16"/>
                <w:szCs w:val="16"/>
              </w:rPr>
              <w:t>Score</w:t>
            </w:r>
            <w:proofErr w:type="gramEnd"/>
          </w:p>
        </w:tc>
        <w:tc>
          <w:tcPr>
            <w:tcW w:w="1550" w:type="dxa"/>
            <w:vAlign w:val="center"/>
          </w:tcPr>
          <w:p w14:paraId="79394C50" w14:textId="77777777" w:rsidR="00EC012C" w:rsidRPr="00E85ADF" w:rsidRDefault="00EC012C" w:rsidP="00C25B53">
            <w:pPr>
              <w:jc w:val="center"/>
              <w:cnfStyle w:val="100000000000" w:firstRow="1" w:lastRow="0" w:firstColumn="0" w:lastColumn="0" w:oddVBand="0" w:evenVBand="0" w:oddHBand="0" w:evenHBand="0" w:firstRowFirstColumn="0" w:firstRowLastColumn="0" w:lastRowFirstColumn="0" w:lastRowLastColumn="0"/>
              <w:rPr>
                <w:sz w:val="16"/>
                <w:szCs w:val="16"/>
              </w:rPr>
            </w:pPr>
            <w:r w:rsidRPr="00E85ADF">
              <w:rPr>
                <w:sz w:val="16"/>
                <w:szCs w:val="16"/>
              </w:rPr>
              <w:t xml:space="preserve">Status since last assessment </w:t>
            </w:r>
          </w:p>
        </w:tc>
        <w:tc>
          <w:tcPr>
            <w:tcW w:w="1559" w:type="dxa"/>
          </w:tcPr>
          <w:p w14:paraId="26317F7E" w14:textId="77777777" w:rsidR="00EC012C" w:rsidRPr="00E85ADF" w:rsidRDefault="00EC012C" w:rsidP="00C25B53">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 xml:space="preserve">2022 National Average </w:t>
            </w:r>
          </w:p>
        </w:tc>
      </w:tr>
      <w:tr w:rsidR="00EC012C" w:rsidRPr="00E85ADF" w14:paraId="5650B78D" w14:textId="77777777" w:rsidTr="00C25B53">
        <w:trPr>
          <w:trHeight w:val="177"/>
          <w:jc w:val="center"/>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700DACBF" w14:textId="77777777" w:rsidR="00EC012C" w:rsidRPr="00E85ADF" w:rsidRDefault="00EC012C" w:rsidP="00C25B53">
            <w:pPr>
              <w:jc w:val="center"/>
              <w:rPr>
                <w:sz w:val="16"/>
                <w:szCs w:val="16"/>
              </w:rPr>
            </w:pPr>
            <w:r w:rsidRPr="00E85ADF">
              <w:rPr>
                <w:sz w:val="16"/>
                <w:szCs w:val="16"/>
              </w:rPr>
              <w:t>Cleanliness</w:t>
            </w:r>
          </w:p>
        </w:tc>
        <w:tc>
          <w:tcPr>
            <w:tcW w:w="1492" w:type="dxa"/>
            <w:vAlign w:val="center"/>
          </w:tcPr>
          <w:p w14:paraId="57A8FE11" w14:textId="77777777" w:rsidR="00EC012C" w:rsidRPr="00E85ADF" w:rsidRDefault="00EC012C" w:rsidP="00C25B53">
            <w:pPr>
              <w:jc w:val="center"/>
              <w:cnfStyle w:val="000000000000" w:firstRow="0" w:lastRow="0" w:firstColumn="0" w:lastColumn="0" w:oddVBand="0" w:evenVBand="0" w:oddHBand="0" w:evenHBand="0" w:firstRowFirstColumn="0" w:firstRowLastColumn="0" w:lastRowFirstColumn="0" w:lastRowLastColumn="0"/>
              <w:rPr>
                <w:sz w:val="16"/>
                <w:szCs w:val="16"/>
              </w:rPr>
            </w:pPr>
            <w:r w:rsidRPr="00E85ADF">
              <w:rPr>
                <w:sz w:val="16"/>
                <w:szCs w:val="16"/>
              </w:rPr>
              <w:t>99.91%</w:t>
            </w:r>
          </w:p>
        </w:tc>
        <w:tc>
          <w:tcPr>
            <w:tcW w:w="1550" w:type="dxa"/>
            <w:vAlign w:val="center"/>
          </w:tcPr>
          <w:p w14:paraId="0927B48F" w14:textId="77777777" w:rsidR="00EC012C" w:rsidRPr="00E85ADF" w:rsidRDefault="00EC012C" w:rsidP="00C25B53">
            <w:pPr>
              <w:jc w:val="center"/>
              <w:cnfStyle w:val="000000000000" w:firstRow="0" w:lastRow="0" w:firstColumn="0" w:lastColumn="0" w:oddVBand="0" w:evenVBand="0" w:oddHBand="0" w:evenHBand="0" w:firstRowFirstColumn="0" w:firstRowLastColumn="0" w:lastRowFirstColumn="0" w:lastRowLastColumn="0"/>
              <w:rPr>
                <w:rFonts w:ascii="Franklin Gothic Heavy" w:hAnsi="Franklin Gothic Heavy"/>
                <w:b/>
                <w:bCs/>
                <w:sz w:val="16"/>
                <w:szCs w:val="16"/>
              </w:rPr>
            </w:pPr>
            <w:r w:rsidRPr="00E85ADF">
              <w:rPr>
                <w:rFonts w:ascii="Franklin Gothic Heavy" w:hAnsi="Franklin Gothic Heavy" w:cs="Arial"/>
                <w:b/>
                <w:bCs/>
                <w:color w:val="FFC000"/>
                <w:sz w:val="16"/>
                <w:szCs w:val="16"/>
              </w:rPr>
              <w:t>→</w:t>
            </w:r>
          </w:p>
        </w:tc>
        <w:tc>
          <w:tcPr>
            <w:tcW w:w="1559" w:type="dxa"/>
          </w:tcPr>
          <w:p w14:paraId="53469862" w14:textId="77777777" w:rsidR="00EC012C" w:rsidRPr="00317548" w:rsidRDefault="00EC012C" w:rsidP="00C25B5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17548">
              <w:rPr>
                <w:rFonts w:cs="Arial"/>
                <w:sz w:val="16"/>
                <w:szCs w:val="16"/>
              </w:rPr>
              <w:t>98.0%</w:t>
            </w:r>
          </w:p>
        </w:tc>
      </w:tr>
      <w:tr w:rsidR="00EC012C" w:rsidRPr="00E85ADF" w14:paraId="5987F0DB" w14:textId="77777777" w:rsidTr="00C25B53">
        <w:trPr>
          <w:trHeight w:val="70"/>
          <w:jc w:val="center"/>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719E6ECA" w14:textId="77777777" w:rsidR="00EC012C" w:rsidRPr="00E85ADF" w:rsidRDefault="00EC012C" w:rsidP="00C25B53">
            <w:pPr>
              <w:jc w:val="center"/>
              <w:rPr>
                <w:sz w:val="16"/>
                <w:szCs w:val="16"/>
              </w:rPr>
            </w:pPr>
            <w:r w:rsidRPr="00E85ADF">
              <w:rPr>
                <w:sz w:val="16"/>
                <w:szCs w:val="16"/>
              </w:rPr>
              <w:t>Food</w:t>
            </w:r>
          </w:p>
        </w:tc>
        <w:tc>
          <w:tcPr>
            <w:tcW w:w="1492" w:type="dxa"/>
            <w:vAlign w:val="center"/>
          </w:tcPr>
          <w:p w14:paraId="660D4207" w14:textId="77777777" w:rsidR="00EC012C" w:rsidRPr="00E85ADF" w:rsidRDefault="00EC012C" w:rsidP="00C25B53">
            <w:pPr>
              <w:jc w:val="center"/>
              <w:cnfStyle w:val="000000000000" w:firstRow="0" w:lastRow="0" w:firstColumn="0" w:lastColumn="0" w:oddVBand="0" w:evenVBand="0" w:oddHBand="0" w:evenHBand="0" w:firstRowFirstColumn="0" w:firstRowLastColumn="0" w:lastRowFirstColumn="0" w:lastRowLastColumn="0"/>
              <w:rPr>
                <w:sz w:val="16"/>
                <w:szCs w:val="16"/>
              </w:rPr>
            </w:pPr>
            <w:r w:rsidRPr="00E85ADF">
              <w:rPr>
                <w:sz w:val="16"/>
                <w:szCs w:val="16"/>
              </w:rPr>
              <w:t>93.85%</w:t>
            </w:r>
          </w:p>
        </w:tc>
        <w:tc>
          <w:tcPr>
            <w:tcW w:w="1550" w:type="dxa"/>
            <w:vAlign w:val="center"/>
          </w:tcPr>
          <w:p w14:paraId="25AAF01E" w14:textId="77777777" w:rsidR="00EC012C" w:rsidRPr="00E85ADF" w:rsidRDefault="00EC012C" w:rsidP="00C25B53">
            <w:pPr>
              <w:jc w:val="center"/>
              <w:cnfStyle w:val="000000000000" w:firstRow="0" w:lastRow="0" w:firstColumn="0" w:lastColumn="0" w:oddVBand="0" w:evenVBand="0" w:oddHBand="0" w:evenHBand="0" w:firstRowFirstColumn="0" w:firstRowLastColumn="0" w:lastRowFirstColumn="0" w:lastRowLastColumn="0"/>
              <w:rPr>
                <w:rFonts w:ascii="Franklin Gothic Heavy" w:hAnsi="Franklin Gothic Heavy"/>
                <w:b/>
                <w:bCs/>
                <w:color w:val="FF0000"/>
                <w:sz w:val="16"/>
                <w:szCs w:val="16"/>
              </w:rPr>
            </w:pPr>
            <w:r w:rsidRPr="00E85ADF">
              <w:rPr>
                <w:rFonts w:ascii="Franklin Gothic Heavy" w:hAnsi="Franklin Gothic Heavy" w:cs="Arial"/>
                <w:b/>
                <w:bCs/>
                <w:color w:val="FF0000"/>
                <w:sz w:val="16"/>
                <w:szCs w:val="16"/>
              </w:rPr>
              <w:t>↓</w:t>
            </w:r>
          </w:p>
        </w:tc>
        <w:tc>
          <w:tcPr>
            <w:tcW w:w="1559" w:type="dxa"/>
          </w:tcPr>
          <w:p w14:paraId="29CA861E" w14:textId="77777777" w:rsidR="00EC012C" w:rsidRPr="00317548" w:rsidRDefault="00EC012C" w:rsidP="00C25B5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17548">
              <w:rPr>
                <w:rFonts w:cs="Arial"/>
                <w:sz w:val="16"/>
                <w:szCs w:val="16"/>
              </w:rPr>
              <w:t>90.2%</w:t>
            </w:r>
          </w:p>
        </w:tc>
      </w:tr>
      <w:tr w:rsidR="00EC012C" w:rsidRPr="00E85ADF" w14:paraId="220EAD4D" w14:textId="77777777" w:rsidTr="00C25B53">
        <w:trPr>
          <w:jc w:val="center"/>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4F2FF818" w14:textId="77777777" w:rsidR="00EC012C" w:rsidRPr="00E85ADF" w:rsidRDefault="00EC012C" w:rsidP="00C25B53">
            <w:pPr>
              <w:jc w:val="center"/>
              <w:rPr>
                <w:sz w:val="16"/>
                <w:szCs w:val="16"/>
              </w:rPr>
            </w:pPr>
            <w:r w:rsidRPr="00E85ADF">
              <w:rPr>
                <w:sz w:val="16"/>
                <w:szCs w:val="16"/>
              </w:rPr>
              <w:t>Privacy, Dignity &amp; Wellbeing</w:t>
            </w:r>
          </w:p>
        </w:tc>
        <w:tc>
          <w:tcPr>
            <w:tcW w:w="1492" w:type="dxa"/>
            <w:vAlign w:val="center"/>
          </w:tcPr>
          <w:p w14:paraId="7E4D9831" w14:textId="77777777" w:rsidR="00EC012C" w:rsidRPr="00E85ADF" w:rsidRDefault="00EC012C" w:rsidP="00C25B53">
            <w:pPr>
              <w:jc w:val="center"/>
              <w:cnfStyle w:val="000000000000" w:firstRow="0" w:lastRow="0" w:firstColumn="0" w:lastColumn="0" w:oddVBand="0" w:evenVBand="0" w:oddHBand="0" w:evenHBand="0" w:firstRowFirstColumn="0" w:firstRowLastColumn="0" w:lastRowFirstColumn="0" w:lastRowLastColumn="0"/>
              <w:rPr>
                <w:sz w:val="16"/>
                <w:szCs w:val="16"/>
              </w:rPr>
            </w:pPr>
            <w:r w:rsidRPr="00E85ADF">
              <w:rPr>
                <w:sz w:val="16"/>
                <w:szCs w:val="16"/>
              </w:rPr>
              <w:t>92.38%</w:t>
            </w:r>
          </w:p>
        </w:tc>
        <w:tc>
          <w:tcPr>
            <w:tcW w:w="1550" w:type="dxa"/>
            <w:vAlign w:val="center"/>
          </w:tcPr>
          <w:p w14:paraId="01D48A16" w14:textId="77777777" w:rsidR="00EC012C" w:rsidRPr="00E85ADF" w:rsidRDefault="00EC012C" w:rsidP="00C25B53">
            <w:pPr>
              <w:jc w:val="center"/>
              <w:cnfStyle w:val="000000000000" w:firstRow="0" w:lastRow="0" w:firstColumn="0" w:lastColumn="0" w:oddVBand="0" w:evenVBand="0" w:oddHBand="0" w:evenHBand="0" w:firstRowFirstColumn="0" w:firstRowLastColumn="0" w:lastRowFirstColumn="0" w:lastRowLastColumn="0"/>
              <w:rPr>
                <w:rFonts w:ascii="Franklin Gothic Heavy" w:hAnsi="Franklin Gothic Heavy"/>
                <w:b/>
                <w:bCs/>
                <w:color w:val="FF0000"/>
                <w:sz w:val="16"/>
                <w:szCs w:val="16"/>
              </w:rPr>
            </w:pPr>
            <w:r w:rsidRPr="00E85ADF">
              <w:rPr>
                <w:rFonts w:ascii="Franklin Gothic Heavy" w:hAnsi="Franklin Gothic Heavy" w:cs="Arial"/>
                <w:b/>
                <w:bCs/>
                <w:color w:val="FF0000"/>
                <w:sz w:val="16"/>
                <w:szCs w:val="16"/>
              </w:rPr>
              <w:t>↓</w:t>
            </w:r>
          </w:p>
        </w:tc>
        <w:tc>
          <w:tcPr>
            <w:tcW w:w="1559" w:type="dxa"/>
          </w:tcPr>
          <w:p w14:paraId="51C23240" w14:textId="77777777" w:rsidR="00EC012C" w:rsidRPr="00317548" w:rsidRDefault="00EC012C" w:rsidP="00C25B5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17548">
              <w:rPr>
                <w:rFonts w:cs="Arial"/>
                <w:sz w:val="16"/>
                <w:szCs w:val="16"/>
              </w:rPr>
              <w:t>86.1%</w:t>
            </w:r>
          </w:p>
        </w:tc>
      </w:tr>
      <w:tr w:rsidR="00EC012C" w:rsidRPr="00E85ADF" w14:paraId="0B5C35D9" w14:textId="77777777" w:rsidTr="00C25B53">
        <w:trPr>
          <w:jc w:val="center"/>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281B2A9B" w14:textId="77777777" w:rsidR="00EC012C" w:rsidRPr="00E85ADF" w:rsidRDefault="00EC012C" w:rsidP="00C25B53">
            <w:pPr>
              <w:jc w:val="center"/>
              <w:rPr>
                <w:sz w:val="16"/>
                <w:szCs w:val="16"/>
              </w:rPr>
            </w:pPr>
            <w:r w:rsidRPr="00E85ADF">
              <w:rPr>
                <w:sz w:val="16"/>
                <w:szCs w:val="16"/>
              </w:rPr>
              <w:t>Condition, Appearance &amp; Maintenance</w:t>
            </w:r>
          </w:p>
        </w:tc>
        <w:tc>
          <w:tcPr>
            <w:tcW w:w="1492" w:type="dxa"/>
            <w:vAlign w:val="center"/>
          </w:tcPr>
          <w:p w14:paraId="353E48A9" w14:textId="77777777" w:rsidR="00EC012C" w:rsidRPr="00E85ADF" w:rsidRDefault="00EC012C" w:rsidP="00C25B53">
            <w:pPr>
              <w:jc w:val="center"/>
              <w:cnfStyle w:val="000000000000" w:firstRow="0" w:lastRow="0" w:firstColumn="0" w:lastColumn="0" w:oddVBand="0" w:evenVBand="0" w:oddHBand="0" w:evenHBand="0" w:firstRowFirstColumn="0" w:firstRowLastColumn="0" w:lastRowFirstColumn="0" w:lastRowLastColumn="0"/>
              <w:rPr>
                <w:sz w:val="16"/>
                <w:szCs w:val="16"/>
              </w:rPr>
            </w:pPr>
            <w:r w:rsidRPr="00E85ADF">
              <w:rPr>
                <w:sz w:val="16"/>
                <w:szCs w:val="16"/>
              </w:rPr>
              <w:t>99.04%</w:t>
            </w:r>
          </w:p>
        </w:tc>
        <w:tc>
          <w:tcPr>
            <w:tcW w:w="1550" w:type="dxa"/>
            <w:vAlign w:val="center"/>
          </w:tcPr>
          <w:p w14:paraId="317658C2" w14:textId="77777777" w:rsidR="00EC012C" w:rsidRPr="00E85ADF" w:rsidRDefault="00EC012C" w:rsidP="00C25B53">
            <w:pPr>
              <w:jc w:val="center"/>
              <w:cnfStyle w:val="000000000000" w:firstRow="0" w:lastRow="0" w:firstColumn="0" w:lastColumn="0" w:oddVBand="0" w:evenVBand="0" w:oddHBand="0" w:evenHBand="0" w:firstRowFirstColumn="0" w:firstRowLastColumn="0" w:lastRowFirstColumn="0" w:lastRowLastColumn="0"/>
              <w:rPr>
                <w:rFonts w:ascii="Franklin Gothic Heavy" w:hAnsi="Franklin Gothic Heavy"/>
                <w:b/>
                <w:bCs/>
                <w:sz w:val="16"/>
                <w:szCs w:val="16"/>
              </w:rPr>
            </w:pPr>
            <w:r w:rsidRPr="00E85ADF">
              <w:rPr>
                <w:rFonts w:ascii="Franklin Gothic Heavy" w:hAnsi="Franklin Gothic Heavy" w:cs="Arial"/>
                <w:b/>
                <w:bCs/>
                <w:color w:val="00B050"/>
                <w:sz w:val="16"/>
                <w:szCs w:val="16"/>
              </w:rPr>
              <w:t>↑</w:t>
            </w:r>
          </w:p>
        </w:tc>
        <w:tc>
          <w:tcPr>
            <w:tcW w:w="1559" w:type="dxa"/>
          </w:tcPr>
          <w:p w14:paraId="2437CA64" w14:textId="77777777" w:rsidR="00EC012C" w:rsidRPr="00317548" w:rsidRDefault="00EC012C" w:rsidP="00C25B5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17548">
              <w:rPr>
                <w:rFonts w:cs="Arial"/>
                <w:sz w:val="16"/>
                <w:szCs w:val="16"/>
              </w:rPr>
              <w:t>95.8%</w:t>
            </w:r>
          </w:p>
        </w:tc>
      </w:tr>
      <w:tr w:rsidR="00EC012C" w:rsidRPr="00E85ADF" w14:paraId="4B60427F" w14:textId="77777777" w:rsidTr="00C25B53">
        <w:trPr>
          <w:jc w:val="center"/>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6B8A7F4D" w14:textId="77777777" w:rsidR="00EC012C" w:rsidRPr="00E85ADF" w:rsidRDefault="00EC012C" w:rsidP="00C25B53">
            <w:pPr>
              <w:jc w:val="center"/>
              <w:rPr>
                <w:sz w:val="16"/>
                <w:szCs w:val="16"/>
              </w:rPr>
            </w:pPr>
            <w:r w:rsidRPr="00E85ADF">
              <w:rPr>
                <w:sz w:val="16"/>
                <w:szCs w:val="16"/>
              </w:rPr>
              <w:t>Dementia</w:t>
            </w:r>
          </w:p>
        </w:tc>
        <w:tc>
          <w:tcPr>
            <w:tcW w:w="1492" w:type="dxa"/>
            <w:vAlign w:val="center"/>
          </w:tcPr>
          <w:p w14:paraId="3B429307" w14:textId="77777777" w:rsidR="00EC012C" w:rsidRPr="00E85ADF" w:rsidRDefault="00EC012C" w:rsidP="00C25B53">
            <w:pPr>
              <w:jc w:val="center"/>
              <w:cnfStyle w:val="000000000000" w:firstRow="0" w:lastRow="0" w:firstColumn="0" w:lastColumn="0" w:oddVBand="0" w:evenVBand="0" w:oddHBand="0" w:evenHBand="0" w:firstRowFirstColumn="0" w:firstRowLastColumn="0" w:lastRowFirstColumn="0" w:lastRowLastColumn="0"/>
              <w:rPr>
                <w:sz w:val="16"/>
                <w:szCs w:val="16"/>
              </w:rPr>
            </w:pPr>
            <w:r w:rsidRPr="00E85ADF">
              <w:rPr>
                <w:sz w:val="16"/>
                <w:szCs w:val="16"/>
              </w:rPr>
              <w:t>83.11%</w:t>
            </w:r>
          </w:p>
        </w:tc>
        <w:tc>
          <w:tcPr>
            <w:tcW w:w="1550" w:type="dxa"/>
            <w:vAlign w:val="center"/>
          </w:tcPr>
          <w:p w14:paraId="040F364F" w14:textId="77777777" w:rsidR="00EC012C" w:rsidRPr="00E85ADF" w:rsidRDefault="00EC012C" w:rsidP="00C25B53">
            <w:pPr>
              <w:jc w:val="center"/>
              <w:cnfStyle w:val="000000000000" w:firstRow="0" w:lastRow="0" w:firstColumn="0" w:lastColumn="0" w:oddVBand="0" w:evenVBand="0" w:oddHBand="0" w:evenHBand="0" w:firstRowFirstColumn="0" w:firstRowLastColumn="0" w:lastRowFirstColumn="0" w:lastRowLastColumn="0"/>
              <w:rPr>
                <w:rFonts w:ascii="Franklin Gothic Heavy" w:hAnsi="Franklin Gothic Heavy"/>
                <w:b/>
                <w:bCs/>
                <w:color w:val="FF0000"/>
                <w:sz w:val="16"/>
                <w:szCs w:val="16"/>
              </w:rPr>
            </w:pPr>
            <w:r w:rsidRPr="00E85ADF">
              <w:rPr>
                <w:rFonts w:ascii="Franklin Gothic Heavy" w:hAnsi="Franklin Gothic Heavy" w:cs="Arial"/>
                <w:b/>
                <w:bCs/>
                <w:color w:val="FF0000"/>
                <w:sz w:val="16"/>
                <w:szCs w:val="16"/>
              </w:rPr>
              <w:t>↓</w:t>
            </w:r>
          </w:p>
        </w:tc>
        <w:tc>
          <w:tcPr>
            <w:tcW w:w="1559" w:type="dxa"/>
          </w:tcPr>
          <w:p w14:paraId="56A3221B" w14:textId="77777777" w:rsidR="00EC012C" w:rsidRPr="00317548" w:rsidRDefault="00EC012C" w:rsidP="00C25B5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17548">
              <w:rPr>
                <w:rFonts w:cs="Arial"/>
                <w:sz w:val="16"/>
                <w:szCs w:val="16"/>
              </w:rPr>
              <w:t>80.6%</w:t>
            </w:r>
          </w:p>
        </w:tc>
      </w:tr>
      <w:tr w:rsidR="00EC012C" w:rsidRPr="00E85ADF" w14:paraId="7C36B820" w14:textId="77777777" w:rsidTr="00C25B53">
        <w:trPr>
          <w:trHeight w:val="70"/>
          <w:jc w:val="center"/>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46E3D010" w14:textId="77777777" w:rsidR="00EC012C" w:rsidRPr="00E85ADF" w:rsidRDefault="00EC012C" w:rsidP="00C25B53">
            <w:pPr>
              <w:jc w:val="center"/>
              <w:rPr>
                <w:sz w:val="16"/>
                <w:szCs w:val="16"/>
              </w:rPr>
            </w:pPr>
            <w:r w:rsidRPr="00E85ADF">
              <w:rPr>
                <w:sz w:val="16"/>
                <w:szCs w:val="16"/>
              </w:rPr>
              <w:t>Disability</w:t>
            </w:r>
          </w:p>
        </w:tc>
        <w:tc>
          <w:tcPr>
            <w:tcW w:w="1492" w:type="dxa"/>
            <w:vAlign w:val="center"/>
          </w:tcPr>
          <w:p w14:paraId="2CB1CC0E" w14:textId="77777777" w:rsidR="00EC012C" w:rsidRPr="00E85ADF" w:rsidRDefault="00EC012C" w:rsidP="00C25B53">
            <w:pPr>
              <w:jc w:val="center"/>
              <w:cnfStyle w:val="000000000000" w:firstRow="0" w:lastRow="0" w:firstColumn="0" w:lastColumn="0" w:oddVBand="0" w:evenVBand="0" w:oddHBand="0" w:evenHBand="0" w:firstRowFirstColumn="0" w:firstRowLastColumn="0" w:lastRowFirstColumn="0" w:lastRowLastColumn="0"/>
              <w:rPr>
                <w:sz w:val="16"/>
                <w:szCs w:val="16"/>
              </w:rPr>
            </w:pPr>
            <w:r w:rsidRPr="00E85ADF">
              <w:rPr>
                <w:sz w:val="16"/>
                <w:szCs w:val="16"/>
              </w:rPr>
              <w:t>83.21%</w:t>
            </w:r>
          </w:p>
        </w:tc>
        <w:tc>
          <w:tcPr>
            <w:tcW w:w="1550" w:type="dxa"/>
            <w:vAlign w:val="center"/>
          </w:tcPr>
          <w:p w14:paraId="3BEE118C" w14:textId="77777777" w:rsidR="00EC012C" w:rsidRPr="00E85ADF" w:rsidRDefault="00EC012C" w:rsidP="00C25B53">
            <w:pPr>
              <w:jc w:val="center"/>
              <w:cnfStyle w:val="000000000000" w:firstRow="0" w:lastRow="0" w:firstColumn="0" w:lastColumn="0" w:oddVBand="0" w:evenVBand="0" w:oddHBand="0" w:evenHBand="0" w:firstRowFirstColumn="0" w:firstRowLastColumn="0" w:lastRowFirstColumn="0" w:lastRowLastColumn="0"/>
              <w:rPr>
                <w:rFonts w:ascii="Franklin Gothic Heavy" w:hAnsi="Franklin Gothic Heavy"/>
                <w:b/>
                <w:bCs/>
                <w:color w:val="FF0000"/>
                <w:sz w:val="16"/>
                <w:szCs w:val="16"/>
              </w:rPr>
            </w:pPr>
            <w:r w:rsidRPr="00E85ADF">
              <w:rPr>
                <w:rFonts w:ascii="Franklin Gothic Heavy" w:hAnsi="Franklin Gothic Heavy" w:cs="Arial"/>
                <w:b/>
                <w:bCs/>
                <w:color w:val="FF0000"/>
                <w:sz w:val="16"/>
                <w:szCs w:val="16"/>
              </w:rPr>
              <w:t>↓</w:t>
            </w:r>
          </w:p>
        </w:tc>
        <w:tc>
          <w:tcPr>
            <w:tcW w:w="1559" w:type="dxa"/>
          </w:tcPr>
          <w:p w14:paraId="3724073E" w14:textId="77777777" w:rsidR="00EC012C" w:rsidRPr="00317548" w:rsidRDefault="00EC012C" w:rsidP="00C25B5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17548">
              <w:rPr>
                <w:rFonts w:cs="Arial"/>
                <w:sz w:val="16"/>
                <w:szCs w:val="16"/>
              </w:rPr>
              <w:t>82.5%</w:t>
            </w:r>
          </w:p>
        </w:tc>
      </w:tr>
    </w:tbl>
    <w:p w14:paraId="5A42A553" w14:textId="77777777" w:rsidR="00EC012C" w:rsidRDefault="00EC012C" w:rsidP="00EC012C">
      <w:pPr>
        <w:rPr>
          <w:sz w:val="20"/>
          <w:szCs w:val="20"/>
        </w:rPr>
      </w:pPr>
    </w:p>
    <w:p w14:paraId="49CD4B2D" w14:textId="77777777" w:rsidR="00EC012C" w:rsidRPr="00582A44" w:rsidRDefault="00EC012C" w:rsidP="00EC012C">
      <w:pPr>
        <w:rPr>
          <w:b/>
          <w:bCs/>
          <w:sz w:val="20"/>
          <w:szCs w:val="20"/>
          <w:u w:val="single"/>
        </w:rPr>
      </w:pPr>
      <w:r w:rsidRPr="00582A44">
        <w:rPr>
          <w:b/>
          <w:bCs/>
          <w:sz w:val="20"/>
          <w:szCs w:val="20"/>
          <w:u w:val="single"/>
        </w:rPr>
        <w:t>Cleaning Standards – Triangulation of Audits</w:t>
      </w:r>
    </w:p>
    <w:p w14:paraId="63C9D802" w14:textId="77777777" w:rsidR="00EC012C" w:rsidRDefault="00EC012C" w:rsidP="00EC012C">
      <w:pPr>
        <w:rPr>
          <w:sz w:val="20"/>
          <w:szCs w:val="20"/>
        </w:rPr>
      </w:pPr>
      <w:r>
        <w:rPr>
          <w:sz w:val="20"/>
          <w:szCs w:val="20"/>
        </w:rPr>
        <w:t xml:space="preserve">Trust audits have been consistently providing assurance internally that a high standard of cleanliness is maintained. Whilst these audits provide the core information for assurance, confidence in the internal audit is bolstered by the triangulation of external review, including the CQC inpatient survey (the largest survey relating to the patient perspective of hospital standards) and PLACE (a survey led by patients). </w:t>
      </w:r>
    </w:p>
    <w:p w14:paraId="5170BCB0" w14:textId="77777777" w:rsidR="00EC012C" w:rsidRDefault="00EC012C" w:rsidP="00EC012C">
      <w:pPr>
        <w:rPr>
          <w:sz w:val="20"/>
          <w:szCs w:val="20"/>
        </w:rPr>
      </w:pPr>
      <w:r>
        <w:rPr>
          <w:sz w:val="20"/>
          <w:szCs w:val="20"/>
        </w:rPr>
        <w:t xml:space="preserve">All information from independently gathered reviews of cleanliness point to a high assurance of cleanliness in the Trust. </w:t>
      </w:r>
    </w:p>
    <w:p w14:paraId="6D037E5B" w14:textId="77777777" w:rsidR="00EC012C" w:rsidRPr="009E5FF4" w:rsidRDefault="00EC012C" w:rsidP="00EC012C">
      <w:pPr>
        <w:rPr>
          <w:sz w:val="20"/>
          <w:szCs w:val="20"/>
        </w:rPr>
      </w:pPr>
    </w:p>
    <w:p w14:paraId="3A1361C5" w14:textId="77777777" w:rsidR="00EC012C" w:rsidRPr="001E3AC3" w:rsidRDefault="00EC012C" w:rsidP="00EC012C">
      <w:pPr>
        <w:rPr>
          <w:b/>
          <w:sz w:val="20"/>
          <w:szCs w:val="20"/>
          <w:u w:val="single"/>
        </w:rPr>
      </w:pPr>
      <w:r w:rsidRPr="001E3AC3">
        <w:rPr>
          <w:b/>
          <w:sz w:val="20"/>
          <w:szCs w:val="20"/>
          <w:u w:val="single"/>
        </w:rPr>
        <w:t xml:space="preserve">Linen </w:t>
      </w:r>
    </w:p>
    <w:p w14:paraId="149A8E06" w14:textId="77777777" w:rsidR="00EC012C" w:rsidRPr="00B324DC" w:rsidRDefault="00EC012C" w:rsidP="00EC012C">
      <w:pPr>
        <w:rPr>
          <w:sz w:val="20"/>
          <w:szCs w:val="20"/>
        </w:rPr>
      </w:pPr>
      <w:r w:rsidRPr="00B324DC">
        <w:rPr>
          <w:sz w:val="20"/>
          <w:szCs w:val="20"/>
        </w:rPr>
        <w:t xml:space="preserve">Quarterly review meetings continued to ensure standards relating to the provision of linen were monitored. </w:t>
      </w:r>
    </w:p>
    <w:p w14:paraId="08472C4A" w14:textId="7F1C4AC9" w:rsidR="00EC012C" w:rsidRDefault="00EC012C" w:rsidP="00EC012C">
      <w:pPr>
        <w:rPr>
          <w:sz w:val="20"/>
          <w:szCs w:val="20"/>
        </w:rPr>
      </w:pPr>
      <w:r w:rsidRPr="00B324DC">
        <w:rPr>
          <w:sz w:val="20"/>
          <w:szCs w:val="20"/>
        </w:rPr>
        <w:t xml:space="preserve">Linen services are provided by an alternative external supplier, who continues to provide assurance to the infection control working group through monthly compliance reporting against </w:t>
      </w:r>
      <w:r w:rsidR="00947FA6">
        <w:rPr>
          <w:sz w:val="20"/>
          <w:szCs w:val="20"/>
        </w:rPr>
        <w:t>National Guidance standards</w:t>
      </w:r>
      <w:r w:rsidRPr="00B324DC">
        <w:rPr>
          <w:sz w:val="20"/>
          <w:szCs w:val="20"/>
        </w:rPr>
        <w:t>.</w:t>
      </w:r>
    </w:p>
    <w:p w14:paraId="2D7AB786" w14:textId="77777777" w:rsidR="00EC012C" w:rsidRDefault="00EC012C" w:rsidP="00EC012C">
      <w:pPr>
        <w:rPr>
          <w:sz w:val="20"/>
          <w:szCs w:val="20"/>
        </w:rPr>
      </w:pPr>
      <w:r>
        <w:rPr>
          <w:sz w:val="20"/>
          <w:szCs w:val="20"/>
        </w:rPr>
        <w:t xml:space="preserve">In May 2022, an on-site audit of the linen contractor was undertaken, attended by both facilities and IPC colleagues from across the consortium. </w:t>
      </w:r>
    </w:p>
    <w:p w14:paraId="57DF62B3" w14:textId="65A94B4D" w:rsidR="00EC012C" w:rsidRDefault="00EC012C" w:rsidP="00EC012C">
      <w:pPr>
        <w:rPr>
          <w:sz w:val="20"/>
          <w:szCs w:val="26"/>
        </w:rPr>
      </w:pPr>
      <w:r>
        <w:rPr>
          <w:sz w:val="20"/>
          <w:szCs w:val="26"/>
        </w:rPr>
        <w:t xml:space="preserve">The contractor was able to provide assurance of the decontamination process of linen, in line with </w:t>
      </w:r>
      <w:r w:rsidR="00947FA6">
        <w:rPr>
          <w:sz w:val="20"/>
          <w:szCs w:val="26"/>
        </w:rPr>
        <w:t>National</w:t>
      </w:r>
      <w:r>
        <w:rPr>
          <w:sz w:val="20"/>
          <w:szCs w:val="26"/>
        </w:rPr>
        <w:t xml:space="preserve"> </w:t>
      </w:r>
      <w:r w:rsidR="00947FA6">
        <w:rPr>
          <w:sz w:val="20"/>
          <w:szCs w:val="26"/>
        </w:rPr>
        <w:t>G</w:t>
      </w:r>
      <w:r>
        <w:rPr>
          <w:sz w:val="20"/>
          <w:szCs w:val="26"/>
        </w:rPr>
        <w:t xml:space="preserve">uidance, however concerns were raised regarding the cleanliness of the working environment, and some basic infection prevention protocols, including adequate access to hand hygiene facilities. </w:t>
      </w:r>
    </w:p>
    <w:p w14:paraId="2FDA50C2" w14:textId="77777777" w:rsidR="00EC012C" w:rsidRPr="002B00B2" w:rsidRDefault="00EC012C" w:rsidP="00EC012C">
      <w:pPr>
        <w:rPr>
          <w:sz w:val="20"/>
          <w:szCs w:val="26"/>
        </w:rPr>
      </w:pPr>
      <w:r>
        <w:rPr>
          <w:sz w:val="20"/>
          <w:szCs w:val="26"/>
        </w:rPr>
        <w:t xml:space="preserve">A formal audit report was issued on behalf of the consortium, and actions monitored through infection prevention &amp; control working group, with a re audit in September 2022 providing comprehensive assurances that actions had been resolved, and further evidence of ongoing improvements and monitoring shared. The Trust will continue to undertake annual on-site reviews as part of its contract management process. </w:t>
      </w:r>
    </w:p>
    <w:p w14:paraId="6558F33F" w14:textId="77777777" w:rsidR="00EC012C" w:rsidRPr="009E5FF4" w:rsidRDefault="00EC012C" w:rsidP="00EC012C">
      <w:pPr>
        <w:rPr>
          <w:sz w:val="20"/>
          <w:szCs w:val="20"/>
        </w:rPr>
      </w:pPr>
    </w:p>
    <w:p w14:paraId="2078B0C0" w14:textId="77777777" w:rsidR="00EC012C" w:rsidRPr="0058054A" w:rsidRDefault="00EC012C" w:rsidP="00EC012C">
      <w:pPr>
        <w:rPr>
          <w:b/>
          <w:sz w:val="20"/>
          <w:szCs w:val="20"/>
          <w:u w:val="single"/>
        </w:rPr>
      </w:pPr>
      <w:r w:rsidRPr="0058054A">
        <w:rPr>
          <w:b/>
          <w:sz w:val="20"/>
          <w:szCs w:val="20"/>
          <w:u w:val="single"/>
        </w:rPr>
        <w:t xml:space="preserve">Clinical Waste </w:t>
      </w:r>
    </w:p>
    <w:p w14:paraId="512168B3" w14:textId="77777777" w:rsidR="00EC012C" w:rsidRPr="00B324DC" w:rsidRDefault="00EC012C" w:rsidP="00EC012C">
      <w:pPr>
        <w:rPr>
          <w:sz w:val="20"/>
          <w:szCs w:val="20"/>
        </w:rPr>
      </w:pPr>
      <w:r w:rsidRPr="00B324DC">
        <w:rPr>
          <w:sz w:val="20"/>
          <w:szCs w:val="20"/>
        </w:rPr>
        <w:t xml:space="preserve">Quarterly review meetings continued to ensure standards relating to the provision of </w:t>
      </w:r>
      <w:r>
        <w:rPr>
          <w:sz w:val="20"/>
          <w:szCs w:val="20"/>
        </w:rPr>
        <w:t>clinical waste</w:t>
      </w:r>
      <w:r w:rsidRPr="00B324DC">
        <w:rPr>
          <w:sz w:val="20"/>
          <w:szCs w:val="20"/>
        </w:rPr>
        <w:t xml:space="preserve"> were monitored. </w:t>
      </w:r>
    </w:p>
    <w:p w14:paraId="09BA88A7" w14:textId="5BFFA162" w:rsidR="00EC012C" w:rsidRDefault="00EC012C" w:rsidP="00EC012C">
      <w:pPr>
        <w:rPr>
          <w:sz w:val="20"/>
          <w:szCs w:val="20"/>
        </w:rPr>
      </w:pPr>
      <w:r>
        <w:rPr>
          <w:sz w:val="20"/>
          <w:szCs w:val="20"/>
        </w:rPr>
        <w:t>Clinical waste</w:t>
      </w:r>
      <w:r w:rsidRPr="00B324DC">
        <w:rPr>
          <w:sz w:val="20"/>
          <w:szCs w:val="20"/>
        </w:rPr>
        <w:t xml:space="preserve"> services are provided by an alternative external supplier</w:t>
      </w:r>
      <w:r>
        <w:rPr>
          <w:sz w:val="20"/>
          <w:szCs w:val="20"/>
        </w:rPr>
        <w:t xml:space="preserve">. Assurance this waste is being managed, both at Trust level and by the external contractor, in line with </w:t>
      </w:r>
      <w:r w:rsidR="00947FA6">
        <w:rPr>
          <w:sz w:val="20"/>
          <w:szCs w:val="20"/>
        </w:rPr>
        <w:t>National Guidance</w:t>
      </w:r>
      <w:r>
        <w:rPr>
          <w:sz w:val="20"/>
          <w:szCs w:val="20"/>
        </w:rPr>
        <w:t xml:space="preserve"> is provided to the infection control working group though annual pre acceptance audits. </w:t>
      </w:r>
    </w:p>
    <w:p w14:paraId="5419182D" w14:textId="77777777" w:rsidR="00EC012C" w:rsidRDefault="00EC012C" w:rsidP="00EC012C">
      <w:pPr>
        <w:rPr>
          <w:sz w:val="20"/>
          <w:szCs w:val="20"/>
        </w:rPr>
      </w:pPr>
      <w:r>
        <w:rPr>
          <w:sz w:val="20"/>
          <w:szCs w:val="20"/>
        </w:rPr>
        <w:t xml:space="preserve">In line with NHS England requirements, the Trust has continued to work collaboratively with all waste contractors servicing the site to ensure the ability to flex to relevant pandemic guidance and changes in activity has been maintained. </w:t>
      </w:r>
    </w:p>
    <w:p w14:paraId="61C16850" w14:textId="77777777" w:rsidR="00EC012C" w:rsidRPr="009E5FF4" w:rsidRDefault="00EC012C" w:rsidP="00EC012C">
      <w:pPr>
        <w:rPr>
          <w:sz w:val="20"/>
          <w:szCs w:val="20"/>
        </w:rPr>
      </w:pPr>
    </w:p>
    <w:p w14:paraId="53CBA977" w14:textId="77777777" w:rsidR="00EC012C" w:rsidRPr="0058054A" w:rsidRDefault="00EC012C" w:rsidP="00EC012C">
      <w:pPr>
        <w:rPr>
          <w:b/>
          <w:sz w:val="22"/>
          <w:u w:val="single"/>
        </w:rPr>
      </w:pPr>
      <w:r w:rsidRPr="0058054A">
        <w:rPr>
          <w:b/>
          <w:sz w:val="20"/>
          <w:szCs w:val="20"/>
          <w:u w:val="single"/>
        </w:rPr>
        <w:t>Estates Department Contribution to the Clean and Appropriate Work Environment</w:t>
      </w:r>
    </w:p>
    <w:p w14:paraId="43262DD4" w14:textId="672B0B8D" w:rsidR="00EC012C" w:rsidRPr="006C7E3D" w:rsidRDefault="00EC012C" w:rsidP="00947FA6">
      <w:pPr>
        <w:rPr>
          <w:sz w:val="20"/>
          <w:szCs w:val="20"/>
        </w:rPr>
      </w:pPr>
      <w:r w:rsidRPr="006C7E3D">
        <w:rPr>
          <w:sz w:val="20"/>
          <w:szCs w:val="20"/>
        </w:rPr>
        <w:t xml:space="preserve">Estates department activity is essential in delivering the IPC agenda, </w:t>
      </w:r>
      <w:r w:rsidR="00947FA6">
        <w:rPr>
          <w:sz w:val="20"/>
          <w:szCs w:val="20"/>
        </w:rPr>
        <w:t>it</w:t>
      </w:r>
      <w:r w:rsidRPr="006C7E3D">
        <w:rPr>
          <w:sz w:val="20"/>
          <w:szCs w:val="20"/>
        </w:rPr>
        <w:t xml:space="preserve"> is delivered under the principles outlined in </w:t>
      </w:r>
      <w:r w:rsidR="00947FA6">
        <w:rPr>
          <w:sz w:val="20"/>
          <w:szCs w:val="20"/>
        </w:rPr>
        <w:t>National Guidance, which</w:t>
      </w:r>
      <w:r w:rsidRPr="006C7E3D">
        <w:rPr>
          <w:sz w:val="20"/>
          <w:szCs w:val="20"/>
        </w:rPr>
        <w:t xml:space="preserve"> covers the importance of a clean, safe environment for all aspects of healthcare.</w:t>
      </w:r>
    </w:p>
    <w:p w14:paraId="2AB8FAB4" w14:textId="77777777" w:rsidR="00EC012C" w:rsidRDefault="00EC012C" w:rsidP="00EC012C">
      <w:pPr>
        <w:rPr>
          <w:sz w:val="20"/>
          <w:szCs w:val="20"/>
        </w:rPr>
      </w:pPr>
      <w:r w:rsidRPr="006C7E3D">
        <w:rPr>
          <w:sz w:val="20"/>
          <w:szCs w:val="20"/>
        </w:rPr>
        <w:lastRenderedPageBreak/>
        <w:t xml:space="preserve">Matters of Estate that impact the clean environment are escalated through the IPC working group for prioritisation and oversight. </w:t>
      </w:r>
      <w:r>
        <w:rPr>
          <w:sz w:val="20"/>
          <w:szCs w:val="20"/>
        </w:rPr>
        <w:t>This year, projects have included:</w:t>
      </w:r>
    </w:p>
    <w:p w14:paraId="15769952" w14:textId="77777777" w:rsidR="00EC012C" w:rsidRDefault="00EC012C" w:rsidP="009D6D0B">
      <w:pPr>
        <w:pStyle w:val="ListParagraph"/>
        <w:numPr>
          <w:ilvl w:val="0"/>
          <w:numId w:val="35"/>
        </w:numPr>
        <w:rPr>
          <w:sz w:val="20"/>
          <w:szCs w:val="20"/>
        </w:rPr>
      </w:pPr>
      <w:r>
        <w:rPr>
          <w:sz w:val="20"/>
          <w:szCs w:val="20"/>
        </w:rPr>
        <w:t>Refurbishment of heavy workshop including creation of dedicated clean wheelchair store.</w:t>
      </w:r>
    </w:p>
    <w:p w14:paraId="01E48EAC" w14:textId="77777777" w:rsidR="00EC012C" w:rsidRDefault="00EC012C" w:rsidP="009D6D0B">
      <w:pPr>
        <w:pStyle w:val="ListParagraph"/>
        <w:numPr>
          <w:ilvl w:val="0"/>
          <w:numId w:val="35"/>
        </w:numPr>
        <w:rPr>
          <w:sz w:val="20"/>
          <w:szCs w:val="20"/>
        </w:rPr>
      </w:pPr>
      <w:r>
        <w:rPr>
          <w:sz w:val="20"/>
          <w:szCs w:val="20"/>
        </w:rPr>
        <w:t xml:space="preserve">Completion of the installation of bay doors across the Trust (facilitating the ability to adequately cohort patients in any ward) </w:t>
      </w:r>
    </w:p>
    <w:p w14:paraId="38421295" w14:textId="77777777" w:rsidR="00EC012C" w:rsidRDefault="00EC012C" w:rsidP="009D6D0B">
      <w:pPr>
        <w:pStyle w:val="ListParagraph"/>
        <w:numPr>
          <w:ilvl w:val="0"/>
          <w:numId w:val="35"/>
        </w:numPr>
        <w:rPr>
          <w:sz w:val="20"/>
          <w:szCs w:val="20"/>
        </w:rPr>
      </w:pPr>
      <w:r>
        <w:rPr>
          <w:sz w:val="20"/>
          <w:szCs w:val="20"/>
        </w:rPr>
        <w:t xml:space="preserve">Refurbishment of ultrasound rooms </w:t>
      </w:r>
    </w:p>
    <w:p w14:paraId="59CFBD84" w14:textId="77777777" w:rsidR="00EC012C" w:rsidRDefault="00EC012C" w:rsidP="009D6D0B">
      <w:pPr>
        <w:pStyle w:val="ListParagraph"/>
        <w:numPr>
          <w:ilvl w:val="0"/>
          <w:numId w:val="35"/>
        </w:numPr>
        <w:rPr>
          <w:sz w:val="20"/>
          <w:szCs w:val="20"/>
        </w:rPr>
      </w:pPr>
      <w:r>
        <w:rPr>
          <w:sz w:val="20"/>
          <w:szCs w:val="20"/>
        </w:rPr>
        <w:t>Refurbishment of cleaning cupboards across the Trust</w:t>
      </w:r>
    </w:p>
    <w:p w14:paraId="11A64434" w14:textId="77777777" w:rsidR="00EC012C" w:rsidRDefault="00EC012C" w:rsidP="009D6D0B">
      <w:pPr>
        <w:pStyle w:val="ListParagraph"/>
        <w:numPr>
          <w:ilvl w:val="0"/>
          <w:numId w:val="35"/>
        </w:numPr>
        <w:rPr>
          <w:sz w:val="20"/>
          <w:szCs w:val="20"/>
        </w:rPr>
      </w:pPr>
      <w:r>
        <w:rPr>
          <w:sz w:val="20"/>
          <w:szCs w:val="20"/>
        </w:rPr>
        <w:t xml:space="preserve">Refurbishment of children’s </w:t>
      </w:r>
      <w:proofErr w:type="gramStart"/>
      <w:r>
        <w:rPr>
          <w:sz w:val="20"/>
          <w:szCs w:val="20"/>
        </w:rPr>
        <w:t>outpatients</w:t>
      </w:r>
      <w:proofErr w:type="gramEnd"/>
      <w:r>
        <w:rPr>
          <w:sz w:val="20"/>
          <w:szCs w:val="20"/>
        </w:rPr>
        <w:t xml:space="preserve"> clinic rooms</w:t>
      </w:r>
    </w:p>
    <w:p w14:paraId="32932ACD" w14:textId="77777777" w:rsidR="00EC012C" w:rsidRDefault="00EC012C" w:rsidP="009D6D0B">
      <w:pPr>
        <w:pStyle w:val="ListParagraph"/>
        <w:numPr>
          <w:ilvl w:val="0"/>
          <w:numId w:val="35"/>
        </w:numPr>
        <w:rPr>
          <w:sz w:val="20"/>
          <w:szCs w:val="20"/>
        </w:rPr>
      </w:pPr>
      <w:r>
        <w:rPr>
          <w:sz w:val="20"/>
          <w:szCs w:val="20"/>
        </w:rPr>
        <w:t>Full refurbishment of Clwyd ward, completion of ongoing refurbishment of Powys ward</w:t>
      </w:r>
    </w:p>
    <w:p w14:paraId="52DDBEE2" w14:textId="77777777" w:rsidR="00EC012C" w:rsidRPr="00F30C33" w:rsidRDefault="00EC012C" w:rsidP="009D6D0B">
      <w:pPr>
        <w:pStyle w:val="ListParagraph"/>
        <w:numPr>
          <w:ilvl w:val="0"/>
          <w:numId w:val="35"/>
        </w:numPr>
        <w:rPr>
          <w:sz w:val="20"/>
          <w:szCs w:val="20"/>
        </w:rPr>
      </w:pPr>
      <w:r>
        <w:rPr>
          <w:sz w:val="20"/>
          <w:szCs w:val="20"/>
        </w:rPr>
        <w:t>Various wall and corner protection works across the Trust</w:t>
      </w:r>
    </w:p>
    <w:p w14:paraId="1FF0B7B9" w14:textId="77777777" w:rsidR="00EC012C" w:rsidRPr="006C7E3D" w:rsidRDefault="00EC012C" w:rsidP="00EC012C">
      <w:pPr>
        <w:rPr>
          <w:sz w:val="20"/>
          <w:szCs w:val="20"/>
        </w:rPr>
      </w:pPr>
    </w:p>
    <w:p w14:paraId="70C502F4" w14:textId="77777777" w:rsidR="00EC012C" w:rsidRPr="00E04121" w:rsidRDefault="00EC012C" w:rsidP="00EC012C">
      <w:pPr>
        <w:rPr>
          <w:b/>
          <w:sz w:val="20"/>
          <w:szCs w:val="20"/>
          <w:u w:val="single"/>
        </w:rPr>
      </w:pPr>
      <w:r w:rsidRPr="00E04121">
        <w:rPr>
          <w:b/>
          <w:sz w:val="20"/>
          <w:szCs w:val="20"/>
          <w:u w:val="single"/>
        </w:rPr>
        <w:t xml:space="preserve">Water </w:t>
      </w:r>
    </w:p>
    <w:p w14:paraId="522A38A0" w14:textId="13A2E10A" w:rsidR="00EC012C" w:rsidRPr="006C7E3D" w:rsidRDefault="00EC012C" w:rsidP="002F7A9D">
      <w:pPr>
        <w:rPr>
          <w:sz w:val="20"/>
          <w:szCs w:val="20"/>
        </w:rPr>
      </w:pPr>
      <w:r w:rsidRPr="006C7E3D">
        <w:rPr>
          <w:sz w:val="20"/>
          <w:szCs w:val="20"/>
        </w:rPr>
        <w:t xml:space="preserve">The control of water is </w:t>
      </w:r>
      <w:r w:rsidR="00947FA6">
        <w:rPr>
          <w:sz w:val="20"/>
          <w:szCs w:val="20"/>
        </w:rPr>
        <w:t>a</w:t>
      </w:r>
      <w:r w:rsidRPr="006C7E3D">
        <w:rPr>
          <w:sz w:val="20"/>
          <w:szCs w:val="20"/>
        </w:rPr>
        <w:t xml:space="preserve"> legal requirement</w:t>
      </w:r>
      <w:r w:rsidR="002F7A9D">
        <w:rPr>
          <w:sz w:val="20"/>
          <w:szCs w:val="20"/>
        </w:rPr>
        <w:t>;</w:t>
      </w:r>
      <w:r w:rsidR="00947FA6">
        <w:rPr>
          <w:sz w:val="20"/>
          <w:szCs w:val="20"/>
        </w:rPr>
        <w:t xml:space="preserve"> the </w:t>
      </w:r>
      <w:r w:rsidR="002F7A9D">
        <w:rPr>
          <w:sz w:val="20"/>
          <w:szCs w:val="20"/>
        </w:rPr>
        <w:t xml:space="preserve">Estates </w:t>
      </w:r>
      <w:proofErr w:type="spellStart"/>
      <w:r w:rsidR="002F7A9D">
        <w:rPr>
          <w:sz w:val="20"/>
          <w:szCs w:val="20"/>
        </w:rPr>
        <w:t>Deparmtent</w:t>
      </w:r>
      <w:proofErr w:type="spellEnd"/>
      <w:r w:rsidR="002F7A9D">
        <w:rPr>
          <w:sz w:val="20"/>
          <w:szCs w:val="20"/>
        </w:rPr>
        <w:t xml:space="preserve"> work to National Guidance to</w:t>
      </w:r>
      <w:r w:rsidR="00947FA6">
        <w:rPr>
          <w:sz w:val="20"/>
          <w:szCs w:val="20"/>
        </w:rPr>
        <w:t xml:space="preserve"> mitigate</w:t>
      </w:r>
      <w:r w:rsidRPr="006C7E3D">
        <w:rPr>
          <w:sz w:val="20"/>
          <w:szCs w:val="20"/>
        </w:rPr>
        <w:t xml:space="preserve"> risks from exposure to legionella</w:t>
      </w:r>
      <w:r w:rsidR="002F7A9D">
        <w:rPr>
          <w:sz w:val="20"/>
          <w:szCs w:val="20"/>
        </w:rPr>
        <w:t>.</w:t>
      </w:r>
    </w:p>
    <w:p w14:paraId="38CB4391" w14:textId="77777777" w:rsidR="00EC012C" w:rsidRPr="006C7E3D" w:rsidRDefault="00EC012C" w:rsidP="00EC012C">
      <w:pPr>
        <w:rPr>
          <w:sz w:val="20"/>
          <w:szCs w:val="20"/>
        </w:rPr>
      </w:pPr>
      <w:r w:rsidRPr="006C7E3D">
        <w:rPr>
          <w:sz w:val="20"/>
          <w:szCs w:val="20"/>
        </w:rPr>
        <w:t xml:space="preserve">The Estates department continues to employ a third-party contractor to provide technical advice for water services and undertake water risk assessments on Trust properties every two years, or where required following incidents or significant infrastructure changes. </w:t>
      </w:r>
    </w:p>
    <w:p w14:paraId="68EBEBAA" w14:textId="77777777" w:rsidR="00EC012C" w:rsidRPr="006C7E3D" w:rsidRDefault="00EC012C" w:rsidP="00EC012C">
      <w:pPr>
        <w:rPr>
          <w:sz w:val="20"/>
          <w:szCs w:val="20"/>
        </w:rPr>
      </w:pPr>
      <w:r w:rsidRPr="006C7E3D">
        <w:rPr>
          <w:sz w:val="20"/>
          <w:szCs w:val="20"/>
        </w:rPr>
        <w:t>There is a written site-specific scheme of control for each inpatient premises. Eurofins provide the Trust an internet-based water testing database storage and reporting for statutory test results. There is also a three-monthly review of test results, control measures and procedures at the Water Safety Group to ensure compliance with current legislation and these results are published at the Infection Prevention Control Working Group.</w:t>
      </w:r>
    </w:p>
    <w:p w14:paraId="3DBCB85E" w14:textId="2187AB9B" w:rsidR="00EC012C" w:rsidRPr="006C7E3D" w:rsidRDefault="002F7A9D" w:rsidP="00EC012C">
      <w:pPr>
        <w:rPr>
          <w:sz w:val="20"/>
          <w:szCs w:val="20"/>
        </w:rPr>
      </w:pPr>
      <w:r>
        <w:rPr>
          <w:sz w:val="20"/>
          <w:szCs w:val="20"/>
        </w:rPr>
        <w:t xml:space="preserve">In line with National Guidance. The Trust </w:t>
      </w:r>
      <w:r w:rsidR="00EC012C" w:rsidRPr="006C7E3D">
        <w:rPr>
          <w:sz w:val="20"/>
          <w:szCs w:val="20"/>
        </w:rPr>
        <w:t xml:space="preserve">has an Authorising Engineer </w:t>
      </w:r>
      <w:r>
        <w:rPr>
          <w:sz w:val="20"/>
          <w:szCs w:val="20"/>
        </w:rPr>
        <w:t xml:space="preserve">for </w:t>
      </w:r>
      <w:r w:rsidR="00EC012C" w:rsidRPr="006C7E3D">
        <w:rPr>
          <w:sz w:val="20"/>
          <w:szCs w:val="20"/>
        </w:rPr>
        <w:t>Water</w:t>
      </w:r>
      <w:r>
        <w:rPr>
          <w:sz w:val="20"/>
          <w:szCs w:val="20"/>
        </w:rPr>
        <w:t xml:space="preserve"> AE (W),</w:t>
      </w:r>
      <w:r w:rsidR="00EC012C" w:rsidRPr="006C7E3D">
        <w:rPr>
          <w:sz w:val="20"/>
          <w:szCs w:val="20"/>
        </w:rPr>
        <w:t xml:space="preserve"> appointed in writing. The AE(W) is a ‘independent advisor,’ </w:t>
      </w:r>
      <w:r>
        <w:rPr>
          <w:sz w:val="20"/>
          <w:szCs w:val="20"/>
        </w:rPr>
        <w:t>who</w:t>
      </w:r>
      <w:r w:rsidR="00EC012C" w:rsidRPr="006C7E3D">
        <w:rPr>
          <w:sz w:val="20"/>
          <w:szCs w:val="20"/>
        </w:rPr>
        <w:t xml:space="preserve"> offers technical advice to the Estates Engineers, auditing the management of water safety and increasing the Trust’s resilience and bolsters the management of water hygiene.</w:t>
      </w:r>
    </w:p>
    <w:p w14:paraId="0BF9BF4D" w14:textId="58606269" w:rsidR="00EC012C" w:rsidRPr="006C7E3D" w:rsidRDefault="002F7A9D" w:rsidP="00EC012C">
      <w:pPr>
        <w:rPr>
          <w:sz w:val="20"/>
          <w:szCs w:val="20"/>
        </w:rPr>
      </w:pPr>
      <w:r>
        <w:rPr>
          <w:sz w:val="20"/>
          <w:szCs w:val="20"/>
        </w:rPr>
        <w:t xml:space="preserve">The </w:t>
      </w:r>
      <w:r w:rsidR="00EC012C" w:rsidRPr="006C7E3D">
        <w:rPr>
          <w:sz w:val="20"/>
          <w:szCs w:val="20"/>
        </w:rPr>
        <w:t xml:space="preserve">Estates </w:t>
      </w:r>
      <w:r>
        <w:rPr>
          <w:sz w:val="20"/>
          <w:szCs w:val="20"/>
        </w:rPr>
        <w:t xml:space="preserve">Department </w:t>
      </w:r>
      <w:r w:rsidR="00EC012C" w:rsidRPr="006C7E3D">
        <w:rPr>
          <w:sz w:val="20"/>
          <w:szCs w:val="20"/>
        </w:rPr>
        <w:t xml:space="preserve">continually undertake water tests throughout the Trust estate. This water testing is carried out </w:t>
      </w:r>
      <w:r>
        <w:rPr>
          <w:sz w:val="20"/>
          <w:szCs w:val="20"/>
        </w:rPr>
        <w:t>in line with</w:t>
      </w:r>
      <w:r w:rsidR="00EC012C" w:rsidRPr="006C7E3D">
        <w:rPr>
          <w:sz w:val="20"/>
          <w:szCs w:val="20"/>
        </w:rPr>
        <w:t xml:space="preserve"> legislation and guidance. Testing is standard practice at RJAH to ensure robust control of waterborne infections such as legionellosis; it is a method of using qualitative data to measure that our planned maintenance is successfully controlling growth of microorganisms in the potable water supply. The Trust conducts Water sample tests, at a greater frequency than required by guidance; the purpose of which is to identify potential issues sooner so that corrective actions can be implemented at the earliest possible time. </w:t>
      </w:r>
    </w:p>
    <w:p w14:paraId="072C9596" w14:textId="77777777" w:rsidR="00EC012C" w:rsidRDefault="00EC012C" w:rsidP="00EC012C">
      <w:pPr>
        <w:rPr>
          <w:sz w:val="20"/>
          <w:szCs w:val="20"/>
        </w:rPr>
      </w:pPr>
      <w:r w:rsidRPr="006C7E3D">
        <w:rPr>
          <w:sz w:val="20"/>
          <w:szCs w:val="20"/>
        </w:rPr>
        <w:t>In response to out of parameter results, the mechanical team within the Estates department continue to employ an effective method of thermal disinfection. This process increases efficacy and reduces costs because of the in-house delivery of such works. Disinfection is often employed to manage domestic water hygiene.</w:t>
      </w:r>
    </w:p>
    <w:p w14:paraId="54736033" w14:textId="77777777" w:rsidR="00EC012C" w:rsidRDefault="00EC012C" w:rsidP="00EC012C">
      <w:pPr>
        <w:rPr>
          <w:sz w:val="20"/>
          <w:szCs w:val="20"/>
        </w:rPr>
      </w:pPr>
      <w:r w:rsidRPr="00873233">
        <w:rPr>
          <w:sz w:val="20"/>
          <w:szCs w:val="20"/>
        </w:rPr>
        <w:t>The Trust is therefore assured that the Water Safety of the site is compliant in-line with current Legislations and guidance.</w:t>
      </w:r>
      <w:r>
        <w:rPr>
          <w:sz w:val="20"/>
          <w:szCs w:val="20"/>
        </w:rPr>
        <w:t xml:space="preserve">  </w:t>
      </w:r>
    </w:p>
    <w:p w14:paraId="693E7405" w14:textId="77777777" w:rsidR="00EC012C" w:rsidRPr="006C7E3D" w:rsidRDefault="00EC012C" w:rsidP="00EC012C">
      <w:pPr>
        <w:rPr>
          <w:sz w:val="20"/>
          <w:szCs w:val="20"/>
        </w:rPr>
      </w:pPr>
    </w:p>
    <w:p w14:paraId="1BF5C873" w14:textId="77777777" w:rsidR="00EC012C" w:rsidRPr="00E04121" w:rsidRDefault="00EC012C" w:rsidP="00EC012C">
      <w:pPr>
        <w:rPr>
          <w:b/>
          <w:sz w:val="20"/>
          <w:szCs w:val="20"/>
          <w:u w:val="single"/>
        </w:rPr>
      </w:pPr>
      <w:r w:rsidRPr="00E04121">
        <w:rPr>
          <w:b/>
          <w:sz w:val="20"/>
          <w:szCs w:val="20"/>
          <w:u w:val="single"/>
        </w:rPr>
        <w:t xml:space="preserve">Ventilation </w:t>
      </w:r>
    </w:p>
    <w:p w14:paraId="3F179515" w14:textId="76F3A70F" w:rsidR="00EC012C" w:rsidRPr="006C7E3D" w:rsidRDefault="00EC012C" w:rsidP="00EC012C">
      <w:pPr>
        <w:rPr>
          <w:bCs/>
          <w:sz w:val="20"/>
          <w:szCs w:val="20"/>
        </w:rPr>
      </w:pPr>
      <w:r w:rsidRPr="006C7E3D">
        <w:rPr>
          <w:bCs/>
          <w:sz w:val="20"/>
          <w:szCs w:val="20"/>
        </w:rPr>
        <w:t xml:space="preserve">It is a legal requirement to provide adequate Ventilation in enclosed areas of a workplace. </w:t>
      </w:r>
    </w:p>
    <w:p w14:paraId="6A8A4D14" w14:textId="13A47623" w:rsidR="00EC012C" w:rsidRPr="006C7E3D" w:rsidRDefault="002F7A9D" w:rsidP="00EC012C">
      <w:pPr>
        <w:rPr>
          <w:bCs/>
          <w:sz w:val="20"/>
          <w:szCs w:val="20"/>
        </w:rPr>
      </w:pPr>
      <w:r>
        <w:rPr>
          <w:sz w:val="20"/>
          <w:szCs w:val="20"/>
        </w:rPr>
        <w:t>Ventilation is led and monitored by the Estates Department, supported by</w:t>
      </w:r>
      <w:r w:rsidR="00EC012C" w:rsidRPr="006C7E3D">
        <w:rPr>
          <w:sz w:val="20"/>
          <w:szCs w:val="20"/>
        </w:rPr>
        <w:t xml:space="preserve"> an Authorising Engineer </w:t>
      </w:r>
      <w:r>
        <w:rPr>
          <w:sz w:val="20"/>
          <w:szCs w:val="20"/>
        </w:rPr>
        <w:t xml:space="preserve">for </w:t>
      </w:r>
      <w:r w:rsidR="00EC012C" w:rsidRPr="006C7E3D">
        <w:rPr>
          <w:sz w:val="20"/>
          <w:szCs w:val="20"/>
        </w:rPr>
        <w:t>Ventilation AE(V)</w:t>
      </w:r>
      <w:r>
        <w:rPr>
          <w:sz w:val="20"/>
          <w:szCs w:val="20"/>
        </w:rPr>
        <w:t>,</w:t>
      </w:r>
      <w:r w:rsidR="00EC012C" w:rsidRPr="006C7E3D">
        <w:rPr>
          <w:sz w:val="20"/>
          <w:szCs w:val="20"/>
        </w:rPr>
        <w:t xml:space="preserve"> appointed in writing. The AE(V) is a ‘independent advisor,’ a requirement of </w:t>
      </w:r>
      <w:r>
        <w:rPr>
          <w:sz w:val="20"/>
          <w:szCs w:val="20"/>
        </w:rPr>
        <w:t>National Guidance</w:t>
      </w:r>
      <w:r w:rsidR="00EC012C" w:rsidRPr="006C7E3D">
        <w:rPr>
          <w:sz w:val="20"/>
          <w:szCs w:val="20"/>
        </w:rPr>
        <w:t xml:space="preserve"> and offers technical advice to the Trust, auditing the Specialised Ventilation and increasing the Trust’s resilience. </w:t>
      </w:r>
    </w:p>
    <w:p w14:paraId="56BBE1FD" w14:textId="77777777" w:rsidR="00EC012C" w:rsidRPr="006C7E3D" w:rsidRDefault="00EC012C" w:rsidP="00EC012C">
      <w:pPr>
        <w:rPr>
          <w:bCs/>
          <w:sz w:val="20"/>
          <w:szCs w:val="20"/>
        </w:rPr>
      </w:pPr>
      <w:r w:rsidRPr="006C7E3D">
        <w:rPr>
          <w:sz w:val="20"/>
          <w:szCs w:val="20"/>
        </w:rPr>
        <w:t xml:space="preserve">The Trust conducts monthly air velocity tests, at a greater frequency than required by guidance; the purpose of which is to identify potential issues sooner so that corrective actions can be implemented at the earliest possible time. </w:t>
      </w:r>
    </w:p>
    <w:p w14:paraId="00D98C11" w14:textId="77777777" w:rsidR="00EC012C" w:rsidRPr="006C7E3D" w:rsidRDefault="00EC012C" w:rsidP="00EC012C">
      <w:pPr>
        <w:rPr>
          <w:bCs/>
          <w:sz w:val="20"/>
          <w:szCs w:val="20"/>
        </w:rPr>
      </w:pPr>
      <w:r w:rsidRPr="006C7E3D">
        <w:rPr>
          <w:bCs/>
          <w:sz w:val="20"/>
          <w:szCs w:val="20"/>
        </w:rPr>
        <w:t xml:space="preserve">The RJAH Estates team conduct Quarterly </w:t>
      </w:r>
      <w:proofErr w:type="gramStart"/>
      <w:r w:rsidRPr="006C7E3D">
        <w:rPr>
          <w:bCs/>
          <w:sz w:val="20"/>
          <w:szCs w:val="20"/>
        </w:rPr>
        <w:t>PPM’s</w:t>
      </w:r>
      <w:proofErr w:type="gramEnd"/>
      <w:r w:rsidRPr="006C7E3D">
        <w:rPr>
          <w:bCs/>
          <w:sz w:val="20"/>
          <w:szCs w:val="20"/>
        </w:rPr>
        <w:t xml:space="preserve"> on all Air Handling units (AHU’s) to ensure they are clean, fully functional, and proactively manage any issues that should arise. </w:t>
      </w:r>
    </w:p>
    <w:p w14:paraId="34DF23E5" w14:textId="77777777" w:rsidR="00EC012C" w:rsidRDefault="00EC012C" w:rsidP="00EC012C">
      <w:pPr>
        <w:rPr>
          <w:bCs/>
          <w:sz w:val="20"/>
          <w:szCs w:val="20"/>
        </w:rPr>
      </w:pPr>
      <w:r w:rsidRPr="006C7E3D">
        <w:rPr>
          <w:bCs/>
          <w:sz w:val="20"/>
          <w:szCs w:val="20"/>
        </w:rPr>
        <w:t>Accredited third party contractors revalidates theatres on an annual basis, providing an inspection and reverification report. These reports are then reviewed by the Trusts Authorising Person (AP(V) and the AE(V)</w:t>
      </w:r>
    </w:p>
    <w:p w14:paraId="6F70D91D" w14:textId="77777777" w:rsidR="00EC012C" w:rsidRPr="00725DB4" w:rsidRDefault="00EC012C" w:rsidP="00EC012C">
      <w:pPr>
        <w:rPr>
          <w:sz w:val="20"/>
          <w:szCs w:val="20"/>
        </w:rPr>
      </w:pPr>
      <w:r w:rsidRPr="00873233">
        <w:rPr>
          <w:sz w:val="20"/>
          <w:szCs w:val="20"/>
        </w:rPr>
        <w:t>The Trust is therefore assured that the sites Ventilation Systems are compliant in-line with current Legislations and guidance.</w:t>
      </w:r>
      <w:r>
        <w:rPr>
          <w:sz w:val="20"/>
          <w:szCs w:val="20"/>
        </w:rPr>
        <w:t xml:space="preserve">  </w:t>
      </w:r>
    </w:p>
    <w:p w14:paraId="57461978" w14:textId="77777777" w:rsidR="00EC012C" w:rsidRPr="006C7E3D" w:rsidRDefault="00EC012C" w:rsidP="00EC012C">
      <w:pPr>
        <w:rPr>
          <w:bCs/>
          <w:sz w:val="20"/>
          <w:szCs w:val="20"/>
        </w:rPr>
      </w:pPr>
    </w:p>
    <w:p w14:paraId="374BF06E" w14:textId="77777777" w:rsidR="00EC012C" w:rsidRPr="006C7E3D" w:rsidRDefault="00EC012C" w:rsidP="00EC012C">
      <w:pPr>
        <w:rPr>
          <w:b/>
          <w:sz w:val="20"/>
          <w:szCs w:val="20"/>
          <w:u w:val="single"/>
        </w:rPr>
      </w:pPr>
      <w:r w:rsidRPr="006C7E3D">
        <w:rPr>
          <w:b/>
          <w:sz w:val="20"/>
          <w:szCs w:val="20"/>
          <w:u w:val="single"/>
        </w:rPr>
        <w:t xml:space="preserve">Decontamination Group </w:t>
      </w:r>
    </w:p>
    <w:p w14:paraId="5655A847" w14:textId="504BDDC5" w:rsidR="00EC012C" w:rsidRPr="006C7E3D" w:rsidRDefault="00EC0EBD" w:rsidP="00EC012C">
      <w:pPr>
        <w:rPr>
          <w:sz w:val="20"/>
          <w:szCs w:val="20"/>
        </w:rPr>
      </w:pPr>
      <w:r w:rsidRPr="006C7E3D">
        <w:rPr>
          <w:sz w:val="20"/>
          <w:szCs w:val="20"/>
        </w:rPr>
        <w:lastRenderedPageBreak/>
        <w:t>Decontamination</w:t>
      </w:r>
      <w:r>
        <w:rPr>
          <w:sz w:val="20"/>
          <w:szCs w:val="20"/>
        </w:rPr>
        <w:t xml:space="preserve">, which </w:t>
      </w:r>
      <w:r w:rsidRPr="006C7E3D">
        <w:rPr>
          <w:sz w:val="20"/>
          <w:szCs w:val="20"/>
        </w:rPr>
        <w:t>covers the theatre and sterile services environment</w:t>
      </w:r>
      <w:r>
        <w:rPr>
          <w:sz w:val="20"/>
          <w:szCs w:val="20"/>
        </w:rPr>
        <w:t>,</w:t>
      </w:r>
      <w:r w:rsidRPr="006C7E3D">
        <w:rPr>
          <w:sz w:val="20"/>
          <w:szCs w:val="20"/>
        </w:rPr>
        <w:t xml:space="preserve"> is </w:t>
      </w:r>
      <w:proofErr w:type="gramStart"/>
      <w:r w:rsidRPr="006C7E3D">
        <w:rPr>
          <w:sz w:val="20"/>
          <w:szCs w:val="20"/>
        </w:rPr>
        <w:t>led</w:t>
      </w:r>
      <w:proofErr w:type="gramEnd"/>
      <w:r w:rsidRPr="006C7E3D">
        <w:rPr>
          <w:sz w:val="20"/>
          <w:szCs w:val="20"/>
        </w:rPr>
        <w:t xml:space="preserve"> and monitored by the Estates department supported by their third party accredited Authorising Engineer </w:t>
      </w:r>
      <w:r>
        <w:rPr>
          <w:sz w:val="20"/>
          <w:szCs w:val="20"/>
        </w:rPr>
        <w:t xml:space="preserve">for Decontamination </w:t>
      </w:r>
      <w:r w:rsidRPr="006C7E3D">
        <w:rPr>
          <w:sz w:val="20"/>
          <w:szCs w:val="20"/>
        </w:rPr>
        <w:t>AE(D)</w:t>
      </w:r>
      <w:r>
        <w:rPr>
          <w:sz w:val="20"/>
          <w:szCs w:val="20"/>
        </w:rPr>
        <w:t xml:space="preserve">, who is </w:t>
      </w:r>
      <w:r w:rsidR="00EC012C" w:rsidRPr="006C7E3D">
        <w:rPr>
          <w:sz w:val="20"/>
          <w:szCs w:val="20"/>
        </w:rPr>
        <w:t xml:space="preserve">appointed in writing. The AE(D) is a ‘independent advisor,’ a requirement of </w:t>
      </w:r>
      <w:r>
        <w:rPr>
          <w:sz w:val="20"/>
          <w:szCs w:val="20"/>
        </w:rPr>
        <w:t>National Guidance</w:t>
      </w:r>
      <w:r w:rsidR="00EC012C" w:rsidRPr="006C7E3D">
        <w:rPr>
          <w:sz w:val="20"/>
          <w:szCs w:val="20"/>
        </w:rPr>
        <w:t xml:space="preserve"> </w:t>
      </w:r>
      <w:r>
        <w:rPr>
          <w:sz w:val="20"/>
          <w:szCs w:val="20"/>
        </w:rPr>
        <w:t>who</w:t>
      </w:r>
      <w:r w:rsidR="00EC012C" w:rsidRPr="006C7E3D">
        <w:rPr>
          <w:sz w:val="20"/>
          <w:szCs w:val="20"/>
        </w:rPr>
        <w:t xml:space="preserve"> offers technical advice to the Trust, auditing the Decontamination equipment and increasing the Trust’s resilience. </w:t>
      </w:r>
    </w:p>
    <w:p w14:paraId="504789B5" w14:textId="77777777" w:rsidR="00EC012C" w:rsidRPr="00873233" w:rsidRDefault="00EC012C" w:rsidP="00EC012C">
      <w:pPr>
        <w:rPr>
          <w:sz w:val="20"/>
          <w:szCs w:val="20"/>
        </w:rPr>
      </w:pPr>
      <w:r w:rsidRPr="006C7E3D">
        <w:rPr>
          <w:sz w:val="20"/>
          <w:szCs w:val="20"/>
        </w:rPr>
        <w:t xml:space="preserve">The RJAH Estates team maintain a local testing regime of Decontamination equipment </w:t>
      </w:r>
      <w:proofErr w:type="gramStart"/>
      <w:r w:rsidRPr="006C7E3D">
        <w:rPr>
          <w:sz w:val="20"/>
          <w:szCs w:val="20"/>
        </w:rPr>
        <w:t>on a monthly basis</w:t>
      </w:r>
      <w:proofErr w:type="gramEnd"/>
      <w:r w:rsidRPr="006C7E3D">
        <w:rPr>
          <w:sz w:val="20"/>
          <w:szCs w:val="20"/>
        </w:rPr>
        <w:t xml:space="preserve"> and proactively manage any issues that should arise. Reports are produced for Quarterly and Annual Testing. These reports are then reviewed by the Trusts Authorising Person (AP(D) and the </w:t>
      </w:r>
      <w:r w:rsidRPr="00873233">
        <w:rPr>
          <w:sz w:val="20"/>
          <w:szCs w:val="20"/>
        </w:rPr>
        <w:t xml:space="preserve">AE(D) </w:t>
      </w:r>
    </w:p>
    <w:p w14:paraId="637AD42C" w14:textId="77777777" w:rsidR="00EC012C" w:rsidRDefault="00EC012C" w:rsidP="00EC012C">
      <w:pPr>
        <w:rPr>
          <w:sz w:val="20"/>
          <w:szCs w:val="20"/>
        </w:rPr>
      </w:pPr>
      <w:r w:rsidRPr="00873233">
        <w:rPr>
          <w:sz w:val="20"/>
          <w:szCs w:val="20"/>
        </w:rPr>
        <w:t>The Trust is therefore assured that the Decontamination of Theatre Surgical equipment is compliant in-line with current Legislations and guidance.</w:t>
      </w:r>
      <w:r>
        <w:rPr>
          <w:sz w:val="20"/>
          <w:szCs w:val="20"/>
        </w:rPr>
        <w:t xml:space="preserve">  </w:t>
      </w:r>
    </w:p>
    <w:p w14:paraId="0E2E3AF0" w14:textId="77777777" w:rsidR="00EC012C" w:rsidRPr="009E5FF4" w:rsidRDefault="00EC012C" w:rsidP="00EC012C">
      <w:pPr>
        <w:rPr>
          <w:sz w:val="20"/>
          <w:szCs w:val="20"/>
        </w:rPr>
      </w:pPr>
    </w:p>
    <w:p w14:paraId="1E97B6AC" w14:textId="77777777" w:rsidR="00EC012C" w:rsidRPr="001E3AC3" w:rsidRDefault="00EC012C" w:rsidP="00EC012C">
      <w:pPr>
        <w:rPr>
          <w:b/>
          <w:sz w:val="20"/>
          <w:szCs w:val="20"/>
          <w:u w:val="single"/>
        </w:rPr>
      </w:pPr>
      <w:r w:rsidRPr="001E3AC3">
        <w:rPr>
          <w:b/>
          <w:sz w:val="20"/>
          <w:szCs w:val="20"/>
          <w:u w:val="single"/>
        </w:rPr>
        <w:t>Personal Protective Equipment (PPE)</w:t>
      </w:r>
    </w:p>
    <w:p w14:paraId="3D47A1C7" w14:textId="77777777" w:rsidR="00EC012C" w:rsidRPr="00C335F9" w:rsidRDefault="00EC012C" w:rsidP="00EC012C">
      <w:pPr>
        <w:rPr>
          <w:sz w:val="20"/>
        </w:rPr>
      </w:pPr>
      <w:r w:rsidRPr="00C335F9">
        <w:rPr>
          <w:sz w:val="20"/>
        </w:rPr>
        <w:t>The department took responsibility for control of PPE, to ensure the Trust benefited from sufficient stock of appropriate PPE; responsibilities included:</w:t>
      </w:r>
    </w:p>
    <w:p w14:paraId="0016191A" w14:textId="77777777" w:rsidR="00EC012C" w:rsidRPr="00C335F9" w:rsidRDefault="00EC012C" w:rsidP="009D6D0B">
      <w:pPr>
        <w:pStyle w:val="ListParagraph"/>
        <w:numPr>
          <w:ilvl w:val="0"/>
          <w:numId w:val="9"/>
        </w:numPr>
        <w:rPr>
          <w:sz w:val="20"/>
          <w:szCs w:val="20"/>
        </w:rPr>
      </w:pPr>
      <w:r w:rsidRPr="00C335F9">
        <w:rPr>
          <w:sz w:val="20"/>
          <w:szCs w:val="20"/>
        </w:rPr>
        <w:t xml:space="preserve">Management of Trust stock through the National PUSH model and consideration of mutual aid requests to support the wider region. </w:t>
      </w:r>
    </w:p>
    <w:p w14:paraId="6ACDAAB2" w14:textId="77777777" w:rsidR="00EC012C" w:rsidRPr="009E5FF4" w:rsidRDefault="00EC012C" w:rsidP="009D6D0B">
      <w:pPr>
        <w:pStyle w:val="ListParagraph"/>
        <w:numPr>
          <w:ilvl w:val="0"/>
          <w:numId w:val="8"/>
        </w:numPr>
        <w:rPr>
          <w:sz w:val="20"/>
          <w:szCs w:val="20"/>
        </w:rPr>
      </w:pPr>
      <w:r w:rsidRPr="009E5FF4">
        <w:rPr>
          <w:sz w:val="20"/>
          <w:szCs w:val="20"/>
        </w:rPr>
        <w:t xml:space="preserve">Installation of PPE stations across site &amp; daily top up service of these, alongside ensuring adequate PPE is available at point of care for clinical teams. </w:t>
      </w:r>
    </w:p>
    <w:p w14:paraId="6F1A6DF7" w14:textId="77777777" w:rsidR="00EC012C" w:rsidRDefault="00EC012C" w:rsidP="009D6D0B">
      <w:pPr>
        <w:pStyle w:val="ListParagraph"/>
        <w:numPr>
          <w:ilvl w:val="0"/>
          <w:numId w:val="8"/>
        </w:numPr>
        <w:rPr>
          <w:sz w:val="20"/>
          <w:szCs w:val="20"/>
        </w:rPr>
      </w:pPr>
      <w:r w:rsidRPr="009E5FF4">
        <w:rPr>
          <w:sz w:val="20"/>
          <w:szCs w:val="20"/>
        </w:rPr>
        <w:t>Provision of FFP3 fit testing &amp; supporting clinical teams to ensure staff are protected with masks in line with the most up to date guidance.</w:t>
      </w:r>
    </w:p>
    <w:p w14:paraId="63F99B95" w14:textId="77777777" w:rsidR="00EC012C" w:rsidRPr="009E5FF4" w:rsidRDefault="00EC012C" w:rsidP="00EC012C">
      <w:pPr>
        <w:pStyle w:val="ListParagraph"/>
        <w:ind w:left="720"/>
        <w:rPr>
          <w:sz w:val="20"/>
          <w:szCs w:val="20"/>
        </w:rPr>
      </w:pPr>
    </w:p>
    <w:p w14:paraId="79D290E5" w14:textId="77777777" w:rsidR="00EC012C" w:rsidRPr="001E3AC3" w:rsidRDefault="00EC012C" w:rsidP="00EC012C">
      <w:pPr>
        <w:rPr>
          <w:b/>
          <w:sz w:val="20"/>
          <w:szCs w:val="20"/>
          <w:u w:val="single"/>
        </w:rPr>
      </w:pPr>
      <w:r w:rsidRPr="001E3AC3">
        <w:rPr>
          <w:b/>
          <w:sz w:val="20"/>
          <w:szCs w:val="20"/>
          <w:u w:val="single"/>
        </w:rPr>
        <w:t xml:space="preserve">Enhanced Cleaning </w:t>
      </w:r>
    </w:p>
    <w:p w14:paraId="1E0DA55E" w14:textId="77777777" w:rsidR="00EC012C" w:rsidRDefault="00EC012C" w:rsidP="00EC012C">
      <w:pPr>
        <w:rPr>
          <w:sz w:val="20"/>
          <w:szCs w:val="20"/>
        </w:rPr>
      </w:pPr>
      <w:r>
        <w:rPr>
          <w:sz w:val="20"/>
          <w:szCs w:val="20"/>
        </w:rPr>
        <w:t xml:space="preserve">National SOPs for cleaning in line with risk level were stood down, although the Trust continued to utilise these checklists for cleaning in cases of COVID outbreaks. </w:t>
      </w:r>
    </w:p>
    <w:p w14:paraId="0C8DCA83" w14:textId="77777777" w:rsidR="00EC012C" w:rsidRDefault="00EC012C" w:rsidP="00EC012C">
      <w:pPr>
        <w:rPr>
          <w:sz w:val="20"/>
          <w:szCs w:val="20"/>
        </w:rPr>
      </w:pPr>
      <w:r>
        <w:rPr>
          <w:sz w:val="20"/>
          <w:szCs w:val="20"/>
        </w:rPr>
        <w:t xml:space="preserve">Successful business cases supported the continued provision of touch point cleaning throughout public areas, with the Trust recognising that the National Standards for Healthcare Cleanliness recommended increased frequency of cleaning these as a business-as-usual task. Work schedules for this team incorporated supporting a second daily clean for isolation rooms, as specified by the </w:t>
      </w:r>
      <w:r w:rsidRPr="00763A91">
        <w:rPr>
          <w:sz w:val="20"/>
          <w:szCs w:val="20"/>
        </w:rPr>
        <w:t>National Infection Prevention &amp; Control Manual.</w:t>
      </w:r>
      <w:r>
        <w:rPr>
          <w:sz w:val="20"/>
          <w:szCs w:val="20"/>
        </w:rPr>
        <w:t xml:space="preserve"> </w:t>
      </w:r>
    </w:p>
    <w:p w14:paraId="369EC261" w14:textId="77777777" w:rsidR="00EC012C" w:rsidRDefault="00EC012C" w:rsidP="00EC012C">
      <w:pPr>
        <w:rPr>
          <w:sz w:val="20"/>
          <w:szCs w:val="20"/>
        </w:rPr>
      </w:pPr>
    </w:p>
    <w:p w14:paraId="0393E553" w14:textId="77777777" w:rsidR="00EC012C" w:rsidRPr="00DF0C6A" w:rsidRDefault="00EC012C" w:rsidP="00EC012C">
      <w:pPr>
        <w:rPr>
          <w:b/>
          <w:bCs/>
          <w:sz w:val="20"/>
          <w:szCs w:val="20"/>
          <w:u w:val="single"/>
        </w:rPr>
      </w:pPr>
      <w:r w:rsidRPr="00DF0C6A">
        <w:rPr>
          <w:b/>
          <w:bCs/>
          <w:sz w:val="20"/>
          <w:szCs w:val="20"/>
          <w:u w:val="single"/>
        </w:rPr>
        <w:t xml:space="preserve">IPC Related Estates &amp; Facilities Improvements </w:t>
      </w:r>
    </w:p>
    <w:p w14:paraId="5BD14BB6" w14:textId="77777777" w:rsidR="00EC012C" w:rsidRPr="00DF0C6A" w:rsidRDefault="00EC012C" w:rsidP="00EC012C">
      <w:pPr>
        <w:rPr>
          <w:sz w:val="20"/>
          <w:szCs w:val="18"/>
        </w:rPr>
      </w:pPr>
      <w:r w:rsidRPr="00DF0C6A">
        <w:rPr>
          <w:sz w:val="20"/>
          <w:szCs w:val="18"/>
        </w:rPr>
        <w:t>Following substantial works completed in 2021/22, focus shifted this year to ensuring estates and facilities processes were aligned to the IPC governance framework, and that appropriate escalation routes were in place to identify where clinical environments fell below expected standards.</w:t>
      </w:r>
    </w:p>
    <w:p w14:paraId="0752658E" w14:textId="77777777" w:rsidR="00EC012C" w:rsidRDefault="00EC012C" w:rsidP="00EC012C">
      <w:pPr>
        <w:rPr>
          <w:sz w:val="20"/>
          <w:szCs w:val="18"/>
        </w:rPr>
      </w:pPr>
      <w:r w:rsidRPr="00DF0C6A">
        <w:rPr>
          <w:sz w:val="20"/>
          <w:szCs w:val="18"/>
        </w:rPr>
        <w:t xml:space="preserve">Continued collaboration, through the IPC working group, has facilitated further refurbishments, promoted respect in subject specialists, and fostered an open and honest approach to auditing and inspection where teams are proud to be held to account. </w:t>
      </w:r>
    </w:p>
    <w:p w14:paraId="7F0EA34B" w14:textId="77777777" w:rsidR="00EC012C" w:rsidRDefault="00EC012C" w:rsidP="00EC012C">
      <w:pPr>
        <w:rPr>
          <w:sz w:val="20"/>
          <w:szCs w:val="18"/>
        </w:rPr>
      </w:pPr>
      <w:r>
        <w:rPr>
          <w:sz w:val="20"/>
          <w:szCs w:val="18"/>
        </w:rPr>
        <w:t xml:space="preserve">During a year where the Trust has learned many lessons, in relation to maintaining an evolving environment in a clean and safe manner, learnings have been passed on to our ICS partners via process sharing, site visits and regular catch ups. </w:t>
      </w:r>
    </w:p>
    <w:p w14:paraId="6F9B629D" w14:textId="77777777" w:rsidR="00EC012C" w:rsidRPr="00DF0C6A" w:rsidRDefault="00EC012C" w:rsidP="00EC012C">
      <w:pPr>
        <w:rPr>
          <w:sz w:val="20"/>
          <w:szCs w:val="18"/>
        </w:rPr>
      </w:pPr>
      <w:r>
        <w:rPr>
          <w:sz w:val="20"/>
          <w:szCs w:val="18"/>
        </w:rPr>
        <w:t xml:space="preserve">Moving into 2023/24, an emphasis on ensuring processes </w:t>
      </w:r>
      <w:proofErr w:type="gramStart"/>
      <w:r>
        <w:rPr>
          <w:sz w:val="20"/>
          <w:szCs w:val="18"/>
        </w:rPr>
        <w:t>are</w:t>
      </w:r>
      <w:proofErr w:type="gramEnd"/>
      <w:r>
        <w:rPr>
          <w:sz w:val="20"/>
          <w:szCs w:val="18"/>
        </w:rPr>
        <w:t xml:space="preserve"> efficient and sustainable.</w:t>
      </w:r>
    </w:p>
    <w:p w14:paraId="5A80A451" w14:textId="77777777" w:rsidR="002F2B51" w:rsidRDefault="002F2B51" w:rsidP="000F0783">
      <w:pPr>
        <w:rPr>
          <w:b/>
          <w:bCs/>
          <w:szCs w:val="24"/>
          <w:u w:val="single"/>
        </w:rPr>
      </w:pPr>
    </w:p>
    <w:p w14:paraId="3F3DA457" w14:textId="77777777" w:rsidR="0058054A" w:rsidRDefault="0058054A" w:rsidP="00CE0762">
      <w:pPr>
        <w:rPr>
          <w:b/>
          <w:bCs/>
          <w:szCs w:val="24"/>
        </w:rPr>
      </w:pPr>
    </w:p>
    <w:p w14:paraId="52F00838" w14:textId="77777777" w:rsidR="0058054A" w:rsidRDefault="0058054A" w:rsidP="00CE0762">
      <w:pPr>
        <w:rPr>
          <w:b/>
          <w:bCs/>
          <w:szCs w:val="24"/>
        </w:rPr>
      </w:pPr>
    </w:p>
    <w:p w14:paraId="540A9027" w14:textId="3AD6866E" w:rsidR="000C3EAE" w:rsidRPr="00CE0762" w:rsidRDefault="002F2B51" w:rsidP="00CE0762">
      <w:pPr>
        <w:rPr>
          <w:b/>
          <w:bCs/>
          <w:szCs w:val="24"/>
        </w:rPr>
      </w:pPr>
      <w:r w:rsidRPr="00284DE7">
        <w:rPr>
          <w:b/>
          <w:bCs/>
          <w:szCs w:val="24"/>
        </w:rPr>
        <w:t>Criterion 3: Ensure appropriate</w:t>
      </w:r>
      <w:r w:rsidR="007B3067">
        <w:rPr>
          <w:b/>
          <w:bCs/>
          <w:szCs w:val="24"/>
        </w:rPr>
        <w:t xml:space="preserve"> </w:t>
      </w:r>
      <w:r w:rsidRPr="00284DE7">
        <w:rPr>
          <w:b/>
          <w:bCs/>
          <w:szCs w:val="24"/>
        </w:rPr>
        <w:t>ant</w:t>
      </w:r>
      <w:r w:rsidR="007B3067">
        <w:rPr>
          <w:b/>
          <w:bCs/>
          <w:szCs w:val="24"/>
        </w:rPr>
        <w:t>i</w:t>
      </w:r>
      <w:r w:rsidRPr="00284DE7">
        <w:rPr>
          <w:b/>
          <w:bCs/>
          <w:szCs w:val="24"/>
        </w:rPr>
        <w:t xml:space="preserve">microbial use to optimise patient outcomes and to reduce the risk of adverse events and antimicrobial </w:t>
      </w:r>
      <w:proofErr w:type="gramStart"/>
      <w:r w:rsidRPr="00284DE7">
        <w:rPr>
          <w:b/>
          <w:bCs/>
          <w:szCs w:val="24"/>
        </w:rPr>
        <w:t>resistance</w:t>
      </w:r>
      <w:proofErr w:type="gramEnd"/>
    </w:p>
    <w:p w14:paraId="344916B0" w14:textId="77777777" w:rsidR="000C3EAE" w:rsidRPr="0058054A" w:rsidRDefault="000C3EAE" w:rsidP="000C3EAE">
      <w:pPr>
        <w:rPr>
          <w:sz w:val="20"/>
          <w:szCs w:val="20"/>
          <w:u w:val="single"/>
        </w:rPr>
      </w:pPr>
      <w:r w:rsidRPr="0058054A">
        <w:rPr>
          <w:sz w:val="20"/>
          <w:szCs w:val="20"/>
          <w:u w:val="single"/>
        </w:rPr>
        <w:t>Antimicrobial Stewardship (AMS)</w:t>
      </w:r>
    </w:p>
    <w:p w14:paraId="370AC445" w14:textId="55B1F892" w:rsidR="000C3EAE" w:rsidRDefault="000C3EAE" w:rsidP="00877E37">
      <w:pPr>
        <w:rPr>
          <w:sz w:val="20"/>
          <w:szCs w:val="20"/>
        </w:rPr>
      </w:pPr>
      <w:r w:rsidRPr="00EE230B">
        <w:rPr>
          <w:sz w:val="20"/>
          <w:szCs w:val="20"/>
        </w:rPr>
        <w:t xml:space="preserve">The </w:t>
      </w:r>
      <w:r w:rsidR="006262B8">
        <w:rPr>
          <w:sz w:val="20"/>
          <w:szCs w:val="20"/>
        </w:rPr>
        <w:t>T</w:t>
      </w:r>
      <w:r w:rsidRPr="00EE230B">
        <w:rPr>
          <w:sz w:val="20"/>
          <w:szCs w:val="20"/>
        </w:rPr>
        <w:t>rust antimicrobial management group (AMG)</w:t>
      </w:r>
      <w:r>
        <w:rPr>
          <w:sz w:val="20"/>
          <w:szCs w:val="20"/>
        </w:rPr>
        <w:t xml:space="preserve"> comprise</w:t>
      </w:r>
      <w:r w:rsidR="00CF5BB7">
        <w:rPr>
          <w:sz w:val="20"/>
          <w:szCs w:val="20"/>
        </w:rPr>
        <w:t>d</w:t>
      </w:r>
      <w:r w:rsidRPr="00EE230B">
        <w:rPr>
          <w:sz w:val="20"/>
          <w:szCs w:val="20"/>
        </w:rPr>
        <w:t xml:space="preserve"> representatives from pharmacy, microbiology, </w:t>
      </w:r>
      <w:proofErr w:type="gramStart"/>
      <w:r w:rsidRPr="00EE230B">
        <w:rPr>
          <w:sz w:val="20"/>
          <w:szCs w:val="20"/>
        </w:rPr>
        <w:t>nursing</w:t>
      </w:r>
      <w:proofErr w:type="gramEnd"/>
      <w:r w:rsidRPr="00EE230B">
        <w:rPr>
          <w:sz w:val="20"/>
          <w:szCs w:val="20"/>
        </w:rPr>
        <w:t xml:space="preserve"> and medical staff. This group manage</w:t>
      </w:r>
      <w:r>
        <w:rPr>
          <w:sz w:val="20"/>
          <w:szCs w:val="20"/>
        </w:rPr>
        <w:t>d and formulated</w:t>
      </w:r>
      <w:r w:rsidRPr="00EE230B">
        <w:rPr>
          <w:sz w:val="20"/>
          <w:szCs w:val="20"/>
        </w:rPr>
        <w:t xml:space="preserve"> policy with regard to antimicrobial </w:t>
      </w:r>
      <w:proofErr w:type="gramStart"/>
      <w:r w:rsidRPr="00EE230B">
        <w:rPr>
          <w:sz w:val="20"/>
          <w:szCs w:val="20"/>
        </w:rPr>
        <w:t>stewardship,</w:t>
      </w:r>
      <w:r>
        <w:rPr>
          <w:sz w:val="20"/>
          <w:szCs w:val="20"/>
        </w:rPr>
        <w:t xml:space="preserve"> </w:t>
      </w:r>
      <w:r w:rsidRPr="00EE230B">
        <w:rPr>
          <w:sz w:val="20"/>
          <w:szCs w:val="20"/>
        </w:rPr>
        <w:t>and</w:t>
      </w:r>
      <w:proofErr w:type="gramEnd"/>
      <w:r w:rsidRPr="00EE230B">
        <w:rPr>
          <w:sz w:val="20"/>
          <w:szCs w:val="20"/>
        </w:rPr>
        <w:t xml:space="preserve"> respond</w:t>
      </w:r>
      <w:r>
        <w:rPr>
          <w:sz w:val="20"/>
          <w:szCs w:val="20"/>
        </w:rPr>
        <w:t>ed</w:t>
      </w:r>
      <w:r w:rsidRPr="00EE230B">
        <w:rPr>
          <w:sz w:val="20"/>
          <w:szCs w:val="20"/>
        </w:rPr>
        <w:t xml:space="preserve"> to concerns in this area.</w:t>
      </w:r>
      <w:r w:rsidR="00877E37">
        <w:rPr>
          <w:sz w:val="20"/>
          <w:szCs w:val="20"/>
        </w:rPr>
        <w:t xml:space="preserve"> Attendance was a challenge to the group and following</w:t>
      </w:r>
      <w:r w:rsidR="00CF5BB7">
        <w:rPr>
          <w:sz w:val="20"/>
          <w:szCs w:val="20"/>
        </w:rPr>
        <w:t xml:space="preserve"> agreement at </w:t>
      </w:r>
      <w:proofErr w:type="gramStart"/>
      <w:r w:rsidR="00CF5BB7">
        <w:rPr>
          <w:sz w:val="20"/>
          <w:szCs w:val="20"/>
        </w:rPr>
        <w:t xml:space="preserve">Committee, </w:t>
      </w:r>
      <w:r w:rsidRPr="00EE230B">
        <w:rPr>
          <w:sz w:val="20"/>
          <w:szCs w:val="20"/>
        </w:rPr>
        <w:t xml:space="preserve"> </w:t>
      </w:r>
      <w:r w:rsidR="00CF5BB7">
        <w:rPr>
          <w:sz w:val="20"/>
          <w:szCs w:val="20"/>
        </w:rPr>
        <w:t>a</w:t>
      </w:r>
      <w:r w:rsidR="00877E37">
        <w:rPr>
          <w:sz w:val="20"/>
          <w:szCs w:val="20"/>
        </w:rPr>
        <w:t>ntimicrobial</w:t>
      </w:r>
      <w:proofErr w:type="gramEnd"/>
      <w:r w:rsidR="00877E37">
        <w:rPr>
          <w:sz w:val="20"/>
          <w:szCs w:val="20"/>
        </w:rPr>
        <w:t xml:space="preserve"> stewardship is now embedded as a standing agenda item of the monthly Drug and </w:t>
      </w:r>
      <w:proofErr w:type="spellStart"/>
      <w:r w:rsidR="00877E37">
        <w:rPr>
          <w:sz w:val="20"/>
          <w:szCs w:val="20"/>
        </w:rPr>
        <w:t>Therapuetics</w:t>
      </w:r>
      <w:proofErr w:type="spellEnd"/>
      <w:r w:rsidR="00877E37">
        <w:rPr>
          <w:sz w:val="20"/>
          <w:szCs w:val="20"/>
        </w:rPr>
        <w:t xml:space="preserve"> Committee to ensure the right representation and to avoid duplication of meetings. </w:t>
      </w:r>
      <w:r w:rsidR="00CF5BB7" w:rsidRPr="00EE230B">
        <w:rPr>
          <w:sz w:val="20"/>
          <w:szCs w:val="20"/>
        </w:rPr>
        <w:t>The group</w:t>
      </w:r>
      <w:r w:rsidR="006262B8">
        <w:rPr>
          <w:sz w:val="20"/>
          <w:szCs w:val="20"/>
        </w:rPr>
        <w:t>’</w:t>
      </w:r>
      <w:r w:rsidR="00CF5BB7">
        <w:rPr>
          <w:sz w:val="20"/>
          <w:szCs w:val="20"/>
        </w:rPr>
        <w:t xml:space="preserve">s responsibility includes </w:t>
      </w:r>
      <w:r w:rsidR="00CF5BB7">
        <w:rPr>
          <w:sz w:val="20"/>
          <w:szCs w:val="20"/>
        </w:rPr>
        <w:lastRenderedPageBreak/>
        <w:t>monitoring antimicrobial prescribing and usage,</w:t>
      </w:r>
      <w:r w:rsidR="00CF5BB7" w:rsidRPr="00EE230B">
        <w:rPr>
          <w:sz w:val="20"/>
          <w:szCs w:val="20"/>
        </w:rPr>
        <w:t xml:space="preserve"> fe</w:t>
      </w:r>
      <w:r w:rsidR="00CF5BB7">
        <w:rPr>
          <w:sz w:val="20"/>
          <w:szCs w:val="20"/>
        </w:rPr>
        <w:t xml:space="preserve">eding </w:t>
      </w:r>
      <w:r w:rsidR="00CF5BB7" w:rsidRPr="00EE230B">
        <w:rPr>
          <w:sz w:val="20"/>
          <w:szCs w:val="20"/>
        </w:rPr>
        <w:t xml:space="preserve">back actions and concerns to the </w:t>
      </w:r>
      <w:r w:rsidR="00CF5BB7">
        <w:rPr>
          <w:sz w:val="20"/>
          <w:szCs w:val="20"/>
        </w:rPr>
        <w:t>E</w:t>
      </w:r>
      <w:r w:rsidR="00CF5BB7" w:rsidRPr="00EE230B">
        <w:rPr>
          <w:sz w:val="20"/>
          <w:szCs w:val="20"/>
        </w:rPr>
        <w:t xml:space="preserve">xecutive </w:t>
      </w:r>
      <w:r w:rsidR="00CF5BB7">
        <w:rPr>
          <w:sz w:val="20"/>
          <w:szCs w:val="20"/>
        </w:rPr>
        <w:t xml:space="preserve">Board through a quarterly AMS report to </w:t>
      </w:r>
      <w:r w:rsidR="00CF5BB7" w:rsidRPr="00EE230B">
        <w:rPr>
          <w:sz w:val="20"/>
          <w:szCs w:val="20"/>
        </w:rPr>
        <w:t xml:space="preserve">the Infection Prevention and Control </w:t>
      </w:r>
      <w:r w:rsidR="00CF5BB7">
        <w:rPr>
          <w:sz w:val="20"/>
          <w:szCs w:val="20"/>
        </w:rPr>
        <w:t xml:space="preserve">Committee. </w:t>
      </w:r>
    </w:p>
    <w:p w14:paraId="33184DAE" w14:textId="77777777" w:rsidR="000C3EAE" w:rsidRDefault="000C3EAE" w:rsidP="000C3EAE">
      <w:pPr>
        <w:rPr>
          <w:sz w:val="20"/>
          <w:szCs w:val="20"/>
        </w:rPr>
      </w:pPr>
    </w:p>
    <w:p w14:paraId="4668D20B" w14:textId="77777777" w:rsidR="000C3EAE" w:rsidRPr="0058054A" w:rsidRDefault="000C3EAE" w:rsidP="000C3EAE">
      <w:pPr>
        <w:rPr>
          <w:sz w:val="20"/>
          <w:szCs w:val="20"/>
          <w:u w:val="single"/>
        </w:rPr>
      </w:pPr>
      <w:r w:rsidRPr="0058054A">
        <w:rPr>
          <w:sz w:val="20"/>
          <w:szCs w:val="20"/>
          <w:u w:val="single"/>
        </w:rPr>
        <w:t>CQUIN 2022/2023</w:t>
      </w:r>
    </w:p>
    <w:p w14:paraId="3E4ED4ED" w14:textId="2D9F3F5D" w:rsidR="000C3EAE" w:rsidRDefault="000C3EAE" w:rsidP="000C3EAE">
      <w:pPr>
        <w:rPr>
          <w:sz w:val="20"/>
          <w:szCs w:val="20"/>
        </w:rPr>
      </w:pPr>
      <w:r>
        <w:rPr>
          <w:sz w:val="20"/>
          <w:szCs w:val="20"/>
        </w:rPr>
        <w:t xml:space="preserve">The CQUIN SCHEME for 2022/23 included an antimicrobial target regarding urinary tract infection recognition, </w:t>
      </w:r>
      <w:proofErr w:type="gramStart"/>
      <w:r>
        <w:rPr>
          <w:sz w:val="20"/>
          <w:szCs w:val="20"/>
        </w:rPr>
        <w:t>treatment</w:t>
      </w:r>
      <w:proofErr w:type="gramEnd"/>
      <w:r>
        <w:rPr>
          <w:sz w:val="20"/>
          <w:szCs w:val="20"/>
        </w:rPr>
        <w:t xml:space="preserve"> and management. Pharmacists were tasked with completing a rolling audit which included proactively influencing prescribing and retrospective data collection to ensure quality and activities around antimicrobial stewardship were achieved. The Trust achieved the CQUIN target with significant improvement in prescribing during the final two quarters of 2022/23.</w:t>
      </w:r>
    </w:p>
    <w:p w14:paraId="714B5545" w14:textId="77777777" w:rsidR="000C3EAE" w:rsidRDefault="000C3EAE" w:rsidP="000C3EAE">
      <w:pPr>
        <w:rPr>
          <w:sz w:val="20"/>
          <w:szCs w:val="20"/>
        </w:rPr>
      </w:pPr>
      <w:r>
        <w:rPr>
          <w:noProof/>
          <w:sz w:val="20"/>
          <w:szCs w:val="20"/>
        </w:rPr>
        <w:drawing>
          <wp:inline distT="0" distB="0" distL="0" distR="0" wp14:anchorId="7F3485F7" wp14:editId="1D044AD2">
            <wp:extent cx="6120765" cy="4115435"/>
            <wp:effectExtent l="0" t="0" r="0" b="0"/>
            <wp:docPr id="16" name="Picture 16"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number of peopl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4115435"/>
                    </a:xfrm>
                    <a:prstGeom prst="rect">
                      <a:avLst/>
                    </a:prstGeom>
                    <a:noFill/>
                  </pic:spPr>
                </pic:pic>
              </a:graphicData>
            </a:graphic>
          </wp:inline>
        </w:drawing>
      </w:r>
    </w:p>
    <w:p w14:paraId="72133BB6" w14:textId="77777777" w:rsidR="000C3EAE" w:rsidRPr="00D3024B" w:rsidRDefault="000C3EAE" w:rsidP="000C3EAE">
      <w:pPr>
        <w:rPr>
          <w:sz w:val="20"/>
          <w:szCs w:val="20"/>
        </w:rPr>
      </w:pPr>
    </w:p>
    <w:p w14:paraId="034EC051" w14:textId="61EA3BD2" w:rsidR="000C3EAE" w:rsidRPr="00E04121" w:rsidRDefault="000C3EAE" w:rsidP="00E04121">
      <w:pPr>
        <w:shd w:val="clear" w:color="auto" w:fill="FFFFFF"/>
        <w:rPr>
          <w:rFonts w:eastAsia="Times New Roman" w:cs="Arial"/>
          <w:b/>
          <w:bCs/>
          <w:color w:val="212121"/>
          <w:szCs w:val="24"/>
          <w:u w:val="single"/>
          <w:lang w:eastAsia="en-GB"/>
        </w:rPr>
      </w:pPr>
      <w:r>
        <w:rPr>
          <w:rFonts w:eastAsia="Times New Roman" w:cs="Arial"/>
          <w:b/>
          <w:bCs/>
          <w:noProof/>
          <w:color w:val="212121"/>
          <w:szCs w:val="24"/>
          <w:u w:val="single"/>
          <w:lang w:eastAsia="en-GB"/>
        </w:rPr>
        <w:drawing>
          <wp:inline distT="0" distB="0" distL="0" distR="0" wp14:anchorId="48B72F08" wp14:editId="36943075">
            <wp:extent cx="6199796" cy="2218681"/>
            <wp:effectExtent l="0" t="0" r="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34920" cy="2231251"/>
                    </a:xfrm>
                    <a:prstGeom prst="rect">
                      <a:avLst/>
                    </a:prstGeom>
                    <a:noFill/>
                  </pic:spPr>
                </pic:pic>
              </a:graphicData>
            </a:graphic>
          </wp:inline>
        </w:drawing>
      </w:r>
    </w:p>
    <w:p w14:paraId="51FADFB4" w14:textId="77777777" w:rsidR="002F2B51" w:rsidRPr="002F2B51" w:rsidRDefault="002F2B51" w:rsidP="000F0783">
      <w:pPr>
        <w:rPr>
          <w:color w:val="0070C0"/>
          <w:szCs w:val="24"/>
        </w:rPr>
      </w:pPr>
    </w:p>
    <w:p w14:paraId="59A85915" w14:textId="77777777" w:rsidR="00C57CB2" w:rsidRPr="00284DE7" w:rsidRDefault="00993128" w:rsidP="00E92A86">
      <w:pPr>
        <w:rPr>
          <w:b/>
          <w:sz w:val="26"/>
          <w:szCs w:val="26"/>
        </w:rPr>
      </w:pPr>
      <w:r w:rsidRPr="00284DE7">
        <w:rPr>
          <w:b/>
        </w:rPr>
        <w:t>Criterion 4</w:t>
      </w:r>
      <w:r w:rsidRPr="00284DE7">
        <w:rPr>
          <w:b/>
          <w:sz w:val="22"/>
        </w:rPr>
        <w:t>:</w:t>
      </w:r>
      <w:r w:rsidR="00AF4271" w:rsidRPr="00284DE7">
        <w:rPr>
          <w:b/>
          <w:sz w:val="22"/>
        </w:rPr>
        <w:t xml:space="preserve"> </w:t>
      </w:r>
      <w:r w:rsidRPr="00284DE7">
        <w:rPr>
          <w:b/>
        </w:rPr>
        <w:t>Provide suitable accurate information on infections to service users</w:t>
      </w:r>
    </w:p>
    <w:p w14:paraId="2A6E60D5" w14:textId="77777777" w:rsidR="00172776" w:rsidRPr="003C50E1" w:rsidRDefault="005E23D0" w:rsidP="00C57CB2">
      <w:pPr>
        <w:rPr>
          <w:sz w:val="2"/>
          <w:szCs w:val="26"/>
        </w:rPr>
      </w:pPr>
      <w:r w:rsidRPr="003C50E1">
        <w:rPr>
          <w:sz w:val="2"/>
        </w:rPr>
        <w:t xml:space="preserve"> </w:t>
      </w:r>
    </w:p>
    <w:p w14:paraId="6B81124E" w14:textId="0A468CAC" w:rsidR="001E3AC3" w:rsidRDefault="001E3AC3" w:rsidP="006D0C69">
      <w:pPr>
        <w:pStyle w:val="Headerfooter"/>
        <w:rPr>
          <w:b/>
          <w:color w:val="auto"/>
          <w:sz w:val="22"/>
          <w:szCs w:val="22"/>
        </w:rPr>
      </w:pPr>
    </w:p>
    <w:p w14:paraId="67859BED" w14:textId="3FCB679F" w:rsidR="006D0C69" w:rsidRPr="001F1410" w:rsidRDefault="006D0C69" w:rsidP="006D0C69">
      <w:pPr>
        <w:pStyle w:val="Headerfooter"/>
        <w:rPr>
          <w:b/>
          <w:color w:val="auto"/>
          <w:szCs w:val="20"/>
          <w:u w:val="single"/>
        </w:rPr>
      </w:pPr>
      <w:r w:rsidRPr="001F1410">
        <w:rPr>
          <w:b/>
          <w:color w:val="auto"/>
          <w:szCs w:val="20"/>
          <w:u w:val="single"/>
        </w:rPr>
        <w:t>Communication Programme</w:t>
      </w:r>
    </w:p>
    <w:p w14:paraId="795322F0" w14:textId="77777777" w:rsidR="00AB0D02" w:rsidRPr="001F1410" w:rsidRDefault="00AB0D02" w:rsidP="006D0C69">
      <w:pPr>
        <w:pStyle w:val="Headerfooter"/>
        <w:rPr>
          <w:b/>
          <w:color w:val="auto"/>
          <w:szCs w:val="20"/>
          <w:u w:val="single"/>
        </w:rPr>
      </w:pPr>
    </w:p>
    <w:p w14:paraId="3B6A5367" w14:textId="5570DF0F" w:rsidR="006D0C69" w:rsidRPr="001F1410" w:rsidRDefault="006D0C69" w:rsidP="006D0C69">
      <w:pPr>
        <w:pStyle w:val="Headerfooter"/>
        <w:rPr>
          <w:color w:val="auto"/>
          <w:szCs w:val="20"/>
        </w:rPr>
      </w:pPr>
      <w:r w:rsidRPr="001F1410">
        <w:rPr>
          <w:color w:val="auto"/>
          <w:szCs w:val="20"/>
        </w:rPr>
        <w:lastRenderedPageBreak/>
        <w:t>The Trust has a dedicated Communication</w:t>
      </w:r>
      <w:r w:rsidR="001136DA" w:rsidRPr="001F1410">
        <w:rPr>
          <w:color w:val="auto"/>
          <w:szCs w:val="20"/>
        </w:rPr>
        <w:t xml:space="preserve"> Team. The IPC team informs the Communications </w:t>
      </w:r>
      <w:r w:rsidRPr="001F1410">
        <w:rPr>
          <w:color w:val="auto"/>
          <w:szCs w:val="20"/>
        </w:rPr>
        <w:t xml:space="preserve">Team, via email, of all outbreaks. Where these may result in media </w:t>
      </w:r>
      <w:r w:rsidR="001136DA" w:rsidRPr="001F1410">
        <w:rPr>
          <w:color w:val="auto"/>
          <w:szCs w:val="20"/>
        </w:rPr>
        <w:t xml:space="preserve">interest because of the nature </w:t>
      </w:r>
      <w:r w:rsidRPr="001F1410">
        <w:rPr>
          <w:color w:val="auto"/>
          <w:szCs w:val="20"/>
        </w:rPr>
        <w:t xml:space="preserve">or impact of the outbreak, the Communications Team is invited </w:t>
      </w:r>
      <w:r w:rsidR="001136DA" w:rsidRPr="001F1410">
        <w:rPr>
          <w:color w:val="auto"/>
          <w:szCs w:val="20"/>
        </w:rPr>
        <w:t xml:space="preserve">to meetings to provide support </w:t>
      </w:r>
      <w:r w:rsidRPr="001F1410">
        <w:rPr>
          <w:color w:val="auto"/>
          <w:szCs w:val="20"/>
        </w:rPr>
        <w:t xml:space="preserve">and guidance and to prepare proactive and reactive media statements. </w:t>
      </w:r>
    </w:p>
    <w:p w14:paraId="790E5C8C" w14:textId="432A1AF6" w:rsidR="001136DA" w:rsidRPr="001F1410" w:rsidRDefault="001136DA" w:rsidP="006D0C69">
      <w:pPr>
        <w:pStyle w:val="Headerfooter"/>
        <w:rPr>
          <w:color w:val="auto"/>
          <w:szCs w:val="20"/>
        </w:rPr>
      </w:pPr>
    </w:p>
    <w:p w14:paraId="370167A9" w14:textId="6DE7D21D" w:rsidR="006D0C69" w:rsidRPr="001F1410" w:rsidRDefault="001F1410" w:rsidP="005340FF">
      <w:pPr>
        <w:pStyle w:val="Headerfooter"/>
        <w:rPr>
          <w:color w:val="auto"/>
          <w:szCs w:val="20"/>
        </w:rPr>
      </w:pPr>
      <w:r>
        <w:rPr>
          <w:color w:val="auto"/>
          <w:szCs w:val="20"/>
        </w:rPr>
        <w:t xml:space="preserve">In the past 12 months </w:t>
      </w:r>
      <w:r w:rsidR="006D0C69" w:rsidRPr="001F1410">
        <w:rPr>
          <w:color w:val="auto"/>
          <w:szCs w:val="20"/>
        </w:rPr>
        <w:t xml:space="preserve">The IPC and Communications Teams </w:t>
      </w:r>
      <w:r>
        <w:rPr>
          <w:color w:val="auto"/>
          <w:szCs w:val="20"/>
        </w:rPr>
        <w:t>have worked</w:t>
      </w:r>
      <w:r w:rsidR="006D0C69" w:rsidRPr="001F1410">
        <w:rPr>
          <w:color w:val="auto"/>
          <w:szCs w:val="20"/>
        </w:rPr>
        <w:t xml:space="preserve"> together to:</w:t>
      </w:r>
      <w:r w:rsidR="001B2595" w:rsidRPr="001F1410">
        <w:rPr>
          <w:noProof/>
        </w:rPr>
        <w:t xml:space="preserve"> </w:t>
      </w:r>
    </w:p>
    <w:p w14:paraId="45B709B8" w14:textId="4A59C9B1" w:rsidR="005340FF" w:rsidRPr="001F1410" w:rsidRDefault="006D0C69" w:rsidP="009D6D0B">
      <w:pPr>
        <w:pStyle w:val="Headerfooter"/>
        <w:numPr>
          <w:ilvl w:val="0"/>
          <w:numId w:val="32"/>
        </w:numPr>
        <w:rPr>
          <w:color w:val="auto"/>
          <w:szCs w:val="20"/>
        </w:rPr>
      </w:pPr>
      <w:r w:rsidRPr="001F1410">
        <w:rPr>
          <w:color w:val="auto"/>
          <w:szCs w:val="20"/>
        </w:rPr>
        <w:t>Promote IPC events</w:t>
      </w:r>
      <w:r w:rsidR="00FB236D" w:rsidRPr="001F1410">
        <w:rPr>
          <w:color w:val="auto"/>
          <w:szCs w:val="20"/>
        </w:rPr>
        <w:t xml:space="preserve"> by providing online flyers </w:t>
      </w:r>
    </w:p>
    <w:p w14:paraId="7A6EF0DA" w14:textId="3612D675" w:rsidR="006A7545" w:rsidRPr="001F1410" w:rsidRDefault="006A7545" w:rsidP="009D6D0B">
      <w:pPr>
        <w:pStyle w:val="Headerfooter"/>
        <w:numPr>
          <w:ilvl w:val="0"/>
          <w:numId w:val="32"/>
        </w:numPr>
        <w:rPr>
          <w:color w:val="auto"/>
          <w:szCs w:val="20"/>
        </w:rPr>
      </w:pPr>
      <w:r w:rsidRPr="001F1410">
        <w:rPr>
          <w:color w:val="auto"/>
          <w:szCs w:val="20"/>
        </w:rPr>
        <w:t>Facilitate updated national guidance messages to staff</w:t>
      </w:r>
    </w:p>
    <w:p w14:paraId="672DB2FA" w14:textId="1EC104F4" w:rsidR="005340FF" w:rsidRPr="001F1410" w:rsidRDefault="005340FF" w:rsidP="009D6D0B">
      <w:pPr>
        <w:pStyle w:val="Headerfooter"/>
        <w:numPr>
          <w:ilvl w:val="0"/>
          <w:numId w:val="32"/>
        </w:numPr>
        <w:rPr>
          <w:color w:val="auto"/>
          <w:szCs w:val="20"/>
        </w:rPr>
      </w:pPr>
      <w:r w:rsidRPr="001F1410">
        <w:rPr>
          <w:color w:val="auto"/>
          <w:szCs w:val="20"/>
        </w:rPr>
        <w:t>Collate and disseminate a Trust wide bi</w:t>
      </w:r>
      <w:r w:rsidR="001F1410">
        <w:rPr>
          <w:color w:val="auto"/>
          <w:szCs w:val="20"/>
        </w:rPr>
        <w:t>-</w:t>
      </w:r>
      <w:r w:rsidRPr="001F1410">
        <w:rPr>
          <w:color w:val="auto"/>
          <w:szCs w:val="20"/>
        </w:rPr>
        <w:t>monthly IPC Bulletin</w:t>
      </w:r>
    </w:p>
    <w:p w14:paraId="3C91AA6D" w14:textId="596A96B6" w:rsidR="006D0C69" w:rsidRPr="001F1410" w:rsidRDefault="006D0C69" w:rsidP="009D6D0B">
      <w:pPr>
        <w:pStyle w:val="Headerfooter"/>
        <w:numPr>
          <w:ilvl w:val="0"/>
          <w:numId w:val="32"/>
        </w:numPr>
        <w:rPr>
          <w:color w:val="auto"/>
          <w:szCs w:val="20"/>
        </w:rPr>
      </w:pPr>
      <w:r w:rsidRPr="001F1410">
        <w:rPr>
          <w:color w:val="auto"/>
          <w:szCs w:val="20"/>
        </w:rPr>
        <w:t>Issue media statements during outbreaks.</w:t>
      </w:r>
    </w:p>
    <w:p w14:paraId="3B43EDEA" w14:textId="41D91723" w:rsidR="006D0C69" w:rsidRPr="001F1410" w:rsidRDefault="006D0C69" w:rsidP="009D6D0B">
      <w:pPr>
        <w:pStyle w:val="Headerfooter"/>
        <w:numPr>
          <w:ilvl w:val="0"/>
          <w:numId w:val="32"/>
        </w:numPr>
        <w:rPr>
          <w:color w:val="auto"/>
          <w:szCs w:val="20"/>
        </w:rPr>
      </w:pPr>
      <w:r w:rsidRPr="001F1410">
        <w:rPr>
          <w:color w:val="auto"/>
          <w:szCs w:val="20"/>
        </w:rPr>
        <w:t>Support the annu</w:t>
      </w:r>
      <w:r w:rsidR="005340FF" w:rsidRPr="001F1410">
        <w:rPr>
          <w:color w:val="auto"/>
          <w:szCs w:val="20"/>
        </w:rPr>
        <w:t xml:space="preserve">al campaigns such as Hand Hygiene </w:t>
      </w:r>
      <w:proofErr w:type="gramStart"/>
      <w:r w:rsidR="005340FF" w:rsidRPr="001F1410">
        <w:rPr>
          <w:color w:val="auto"/>
          <w:szCs w:val="20"/>
        </w:rPr>
        <w:t>day</w:t>
      </w:r>
      <w:proofErr w:type="gramEnd"/>
    </w:p>
    <w:p w14:paraId="380B0D70" w14:textId="77777777" w:rsidR="006D0C69" w:rsidRPr="001F1410" w:rsidRDefault="006D0C69" w:rsidP="003066D9">
      <w:pPr>
        <w:pStyle w:val="Headerfooter"/>
        <w:rPr>
          <w:color w:val="auto"/>
          <w:sz w:val="22"/>
          <w:szCs w:val="22"/>
        </w:rPr>
      </w:pPr>
    </w:p>
    <w:p w14:paraId="2B036AE3" w14:textId="3CD69541" w:rsidR="005340FF" w:rsidRPr="001F1410" w:rsidRDefault="005340FF" w:rsidP="003066D9">
      <w:pPr>
        <w:pStyle w:val="Headerfooter"/>
        <w:rPr>
          <w:b/>
          <w:color w:val="auto"/>
          <w:szCs w:val="20"/>
          <w:u w:val="single"/>
        </w:rPr>
      </w:pPr>
      <w:r w:rsidRPr="001F1410">
        <w:rPr>
          <w:b/>
          <w:color w:val="auto"/>
          <w:szCs w:val="20"/>
          <w:u w:val="single"/>
        </w:rPr>
        <w:t>IPC Bulletin</w:t>
      </w:r>
    </w:p>
    <w:p w14:paraId="0F28C56B" w14:textId="2A2A5571" w:rsidR="005340FF" w:rsidRPr="001F1410" w:rsidRDefault="005340FF" w:rsidP="003066D9">
      <w:pPr>
        <w:pStyle w:val="Headerfooter"/>
        <w:rPr>
          <w:b/>
          <w:color w:val="auto"/>
          <w:szCs w:val="20"/>
          <w:u w:val="single"/>
        </w:rPr>
      </w:pPr>
    </w:p>
    <w:p w14:paraId="351C930A" w14:textId="656E64C6" w:rsidR="005340FF" w:rsidRPr="001F1410" w:rsidRDefault="005340FF" w:rsidP="003066D9">
      <w:pPr>
        <w:pStyle w:val="Headerfooter"/>
        <w:rPr>
          <w:bCs/>
          <w:color w:val="auto"/>
          <w:szCs w:val="20"/>
        </w:rPr>
      </w:pPr>
      <w:r w:rsidRPr="001F1410">
        <w:rPr>
          <w:bCs/>
          <w:color w:val="auto"/>
          <w:szCs w:val="20"/>
        </w:rPr>
        <w:t xml:space="preserve">In May 22 </w:t>
      </w:r>
      <w:r w:rsidR="00550870" w:rsidRPr="001F1410">
        <w:rPr>
          <w:bCs/>
          <w:color w:val="auto"/>
          <w:szCs w:val="20"/>
        </w:rPr>
        <w:t>the</w:t>
      </w:r>
      <w:r w:rsidRPr="001F1410">
        <w:rPr>
          <w:bCs/>
          <w:color w:val="auto"/>
          <w:szCs w:val="20"/>
        </w:rPr>
        <w:t xml:space="preserve"> IPC bulletin was introduced to provide effective communication to staff. The bulletin is managed by the Comm</w:t>
      </w:r>
      <w:r w:rsidR="001F1410">
        <w:rPr>
          <w:bCs/>
          <w:color w:val="auto"/>
          <w:szCs w:val="20"/>
        </w:rPr>
        <w:t>unications</w:t>
      </w:r>
      <w:r w:rsidRPr="001F1410">
        <w:rPr>
          <w:bCs/>
          <w:color w:val="auto"/>
          <w:szCs w:val="20"/>
        </w:rPr>
        <w:t xml:space="preserve"> team</w:t>
      </w:r>
      <w:r w:rsidR="00550870" w:rsidRPr="001F1410">
        <w:rPr>
          <w:bCs/>
          <w:color w:val="auto"/>
          <w:szCs w:val="20"/>
        </w:rPr>
        <w:t xml:space="preserve"> but</w:t>
      </w:r>
      <w:r w:rsidRPr="001F1410">
        <w:rPr>
          <w:bCs/>
          <w:color w:val="auto"/>
          <w:szCs w:val="20"/>
        </w:rPr>
        <w:t xml:space="preserve"> led by the Chief Nurse and Chief medical </w:t>
      </w:r>
      <w:r w:rsidR="00550870" w:rsidRPr="001F1410">
        <w:rPr>
          <w:bCs/>
          <w:color w:val="auto"/>
          <w:szCs w:val="20"/>
        </w:rPr>
        <w:t>O</w:t>
      </w:r>
      <w:r w:rsidRPr="001F1410">
        <w:rPr>
          <w:bCs/>
          <w:color w:val="auto"/>
          <w:szCs w:val="20"/>
        </w:rPr>
        <w:t>fficer.   Content is provided bi</w:t>
      </w:r>
      <w:r w:rsidR="001F1410">
        <w:rPr>
          <w:bCs/>
          <w:color w:val="auto"/>
          <w:szCs w:val="20"/>
        </w:rPr>
        <w:t>-</w:t>
      </w:r>
      <w:r w:rsidRPr="001F1410">
        <w:rPr>
          <w:bCs/>
          <w:color w:val="auto"/>
          <w:szCs w:val="20"/>
        </w:rPr>
        <w:t xml:space="preserve">monthly by </w:t>
      </w:r>
      <w:r w:rsidR="00550870" w:rsidRPr="001F1410">
        <w:rPr>
          <w:bCs/>
          <w:color w:val="auto"/>
          <w:szCs w:val="20"/>
        </w:rPr>
        <w:t xml:space="preserve">both </w:t>
      </w:r>
      <w:r w:rsidRPr="001F1410">
        <w:rPr>
          <w:bCs/>
          <w:color w:val="auto"/>
          <w:szCs w:val="20"/>
        </w:rPr>
        <w:t>IPC and executive level teams.</w:t>
      </w:r>
    </w:p>
    <w:p w14:paraId="3EB04834" w14:textId="337CB6AE" w:rsidR="005340FF" w:rsidRPr="0052457E" w:rsidRDefault="005340FF" w:rsidP="003066D9">
      <w:pPr>
        <w:pStyle w:val="Headerfooter"/>
        <w:rPr>
          <w:bCs/>
          <w:color w:val="auto"/>
          <w:szCs w:val="20"/>
        </w:rPr>
      </w:pPr>
      <w:r w:rsidRPr="001F1410">
        <w:rPr>
          <w:bCs/>
          <w:color w:val="auto"/>
          <w:szCs w:val="20"/>
        </w:rPr>
        <w:t>The bulletin became an essential communication tool throughout the transition of improvements undertaken during the year. It feature</w:t>
      </w:r>
      <w:r w:rsidR="00550870" w:rsidRPr="001F1410">
        <w:rPr>
          <w:bCs/>
          <w:color w:val="auto"/>
          <w:szCs w:val="20"/>
        </w:rPr>
        <w:t>s</w:t>
      </w:r>
      <w:r w:rsidRPr="001F1410">
        <w:rPr>
          <w:bCs/>
          <w:color w:val="auto"/>
          <w:szCs w:val="20"/>
        </w:rPr>
        <w:t xml:space="preserve"> a spotlight of the week for areas of good practice and specific IPC focus.</w:t>
      </w:r>
    </w:p>
    <w:p w14:paraId="23CD6970" w14:textId="77777777" w:rsidR="0052457E" w:rsidRDefault="0052457E" w:rsidP="003066D9">
      <w:pPr>
        <w:pStyle w:val="Headerfooter"/>
        <w:rPr>
          <w:b/>
          <w:color w:val="auto"/>
          <w:szCs w:val="20"/>
          <w:highlight w:val="yellow"/>
          <w:u w:val="single"/>
        </w:rPr>
      </w:pPr>
    </w:p>
    <w:p w14:paraId="1B0F5CF4" w14:textId="0BCEBD13" w:rsidR="001136DA" w:rsidRPr="001F1410" w:rsidRDefault="001136DA" w:rsidP="003066D9">
      <w:pPr>
        <w:pStyle w:val="Headerfooter"/>
        <w:rPr>
          <w:b/>
          <w:color w:val="auto"/>
          <w:szCs w:val="20"/>
          <w:u w:val="single"/>
        </w:rPr>
      </w:pPr>
      <w:r w:rsidRPr="001F1410">
        <w:rPr>
          <w:b/>
          <w:color w:val="auto"/>
          <w:szCs w:val="20"/>
          <w:u w:val="single"/>
        </w:rPr>
        <w:t xml:space="preserve">Trust Website and Information Leaflets </w:t>
      </w:r>
    </w:p>
    <w:p w14:paraId="4CE58464" w14:textId="77777777" w:rsidR="00A964CC" w:rsidRPr="001F1410" w:rsidRDefault="00A964CC" w:rsidP="003066D9">
      <w:pPr>
        <w:pStyle w:val="Headerfooter"/>
        <w:rPr>
          <w:color w:val="auto"/>
          <w:szCs w:val="20"/>
        </w:rPr>
      </w:pPr>
    </w:p>
    <w:p w14:paraId="75544DB9" w14:textId="35C1877E" w:rsidR="0008288E" w:rsidRPr="001F1410" w:rsidRDefault="0052457E" w:rsidP="003066D9">
      <w:pPr>
        <w:pStyle w:val="Headerfooter"/>
        <w:rPr>
          <w:color w:val="auto"/>
          <w:szCs w:val="20"/>
        </w:rPr>
      </w:pPr>
      <w:r>
        <w:rPr>
          <w:color w:val="auto"/>
          <w:szCs w:val="20"/>
        </w:rPr>
        <w:t xml:space="preserve">The </w:t>
      </w:r>
      <w:r w:rsidR="00721B19" w:rsidRPr="001F1410">
        <w:rPr>
          <w:color w:val="auto"/>
          <w:szCs w:val="20"/>
        </w:rPr>
        <w:t xml:space="preserve">Trust webpage </w:t>
      </w:r>
      <w:r w:rsidR="00435DD5" w:rsidRPr="001F1410">
        <w:rPr>
          <w:color w:val="auto"/>
          <w:szCs w:val="20"/>
        </w:rPr>
        <w:t xml:space="preserve">continued to be reviewed and improved </w:t>
      </w:r>
      <w:r w:rsidR="009D270A" w:rsidRPr="001F1410">
        <w:rPr>
          <w:color w:val="auto"/>
          <w:szCs w:val="20"/>
        </w:rPr>
        <w:t xml:space="preserve">following its redesign in February 2022. The page now provides </w:t>
      </w:r>
      <w:r w:rsidR="0008288E" w:rsidRPr="001F1410">
        <w:rPr>
          <w:color w:val="auto"/>
          <w:szCs w:val="20"/>
        </w:rPr>
        <w:t>information</w:t>
      </w:r>
      <w:r w:rsidR="009D270A" w:rsidRPr="001F1410">
        <w:rPr>
          <w:color w:val="auto"/>
          <w:szCs w:val="20"/>
        </w:rPr>
        <w:t xml:space="preserve"> to </w:t>
      </w:r>
      <w:r w:rsidR="0008288E" w:rsidRPr="001F1410">
        <w:rPr>
          <w:color w:val="auto"/>
          <w:szCs w:val="20"/>
        </w:rPr>
        <w:t xml:space="preserve">patients and visitors </w:t>
      </w:r>
      <w:r w:rsidR="009D270A" w:rsidRPr="001F1410">
        <w:rPr>
          <w:color w:val="auto"/>
          <w:szCs w:val="20"/>
        </w:rPr>
        <w:t>informing them of</w:t>
      </w:r>
      <w:r w:rsidR="00435DD5" w:rsidRPr="001F1410">
        <w:rPr>
          <w:color w:val="auto"/>
          <w:szCs w:val="20"/>
        </w:rPr>
        <w:t xml:space="preserve"> the</w:t>
      </w:r>
      <w:r w:rsidR="009D270A" w:rsidRPr="001F1410">
        <w:rPr>
          <w:color w:val="auto"/>
          <w:szCs w:val="20"/>
        </w:rPr>
        <w:t xml:space="preserve"> required </w:t>
      </w:r>
      <w:r w:rsidR="00721B19" w:rsidRPr="001F1410">
        <w:rPr>
          <w:color w:val="auto"/>
          <w:szCs w:val="20"/>
        </w:rPr>
        <w:t xml:space="preserve">IPC precautions, </w:t>
      </w:r>
      <w:r w:rsidR="00435DD5" w:rsidRPr="001F1410">
        <w:rPr>
          <w:color w:val="auto"/>
          <w:szCs w:val="20"/>
        </w:rPr>
        <w:t>aligned to</w:t>
      </w:r>
      <w:r w:rsidR="00721B19" w:rsidRPr="001F1410">
        <w:rPr>
          <w:color w:val="auto"/>
          <w:szCs w:val="20"/>
        </w:rPr>
        <w:t xml:space="preserve"> national guidance</w:t>
      </w:r>
      <w:r w:rsidR="00550870" w:rsidRPr="001F1410">
        <w:rPr>
          <w:color w:val="auto"/>
          <w:szCs w:val="20"/>
        </w:rPr>
        <w:t>.</w:t>
      </w:r>
    </w:p>
    <w:p w14:paraId="1BF20FA3" w14:textId="77777777" w:rsidR="00A31F3F" w:rsidRPr="001F1410" w:rsidRDefault="00A31F3F" w:rsidP="003066D9">
      <w:pPr>
        <w:pStyle w:val="Headerfooter"/>
        <w:rPr>
          <w:color w:val="auto"/>
          <w:szCs w:val="20"/>
        </w:rPr>
      </w:pPr>
    </w:p>
    <w:p w14:paraId="0768F0CC" w14:textId="28358BC7" w:rsidR="001136DA" w:rsidRPr="001F1410" w:rsidRDefault="001136DA" w:rsidP="003066D9">
      <w:pPr>
        <w:pStyle w:val="Headerfooter"/>
        <w:rPr>
          <w:color w:val="auto"/>
          <w:szCs w:val="20"/>
        </w:rPr>
      </w:pPr>
      <w:r w:rsidRPr="001F1410">
        <w:rPr>
          <w:color w:val="auto"/>
          <w:szCs w:val="20"/>
        </w:rPr>
        <w:t>Th</w:t>
      </w:r>
      <w:r w:rsidR="00721B19" w:rsidRPr="001F1410">
        <w:rPr>
          <w:color w:val="auto"/>
          <w:szCs w:val="20"/>
        </w:rPr>
        <w:t xml:space="preserve">e webpage will </w:t>
      </w:r>
      <w:proofErr w:type="gramStart"/>
      <w:r w:rsidRPr="001F1410">
        <w:rPr>
          <w:color w:val="auto"/>
          <w:szCs w:val="20"/>
        </w:rPr>
        <w:t>continues</w:t>
      </w:r>
      <w:proofErr w:type="gramEnd"/>
      <w:r w:rsidRPr="001F1410">
        <w:rPr>
          <w:color w:val="auto"/>
          <w:szCs w:val="20"/>
        </w:rPr>
        <w:t xml:space="preserve"> to be updated by the Communications Team</w:t>
      </w:r>
      <w:r w:rsidR="00435DD5" w:rsidRPr="001F1410">
        <w:rPr>
          <w:color w:val="auto"/>
          <w:szCs w:val="20"/>
        </w:rPr>
        <w:t xml:space="preserve"> in collaboration with </w:t>
      </w:r>
      <w:r w:rsidRPr="001F1410">
        <w:rPr>
          <w:color w:val="auto"/>
          <w:szCs w:val="20"/>
        </w:rPr>
        <w:t>IPC</w:t>
      </w:r>
      <w:r w:rsidR="00435DD5" w:rsidRPr="001F1410">
        <w:rPr>
          <w:color w:val="auto"/>
          <w:szCs w:val="20"/>
        </w:rPr>
        <w:t xml:space="preserve"> </w:t>
      </w:r>
      <w:r w:rsidRPr="001F1410">
        <w:rPr>
          <w:color w:val="auto"/>
          <w:szCs w:val="20"/>
        </w:rPr>
        <w:t>as new information becomes available.</w:t>
      </w:r>
    </w:p>
    <w:p w14:paraId="3D2C07B7" w14:textId="5D30C03C" w:rsidR="009D270A" w:rsidRPr="001F1410" w:rsidRDefault="009D270A" w:rsidP="003066D9">
      <w:pPr>
        <w:pStyle w:val="Headerfooter"/>
        <w:rPr>
          <w:color w:val="auto"/>
          <w:szCs w:val="20"/>
        </w:rPr>
      </w:pPr>
    </w:p>
    <w:p w14:paraId="324BA5F3" w14:textId="321A5659" w:rsidR="009D270A" w:rsidRPr="001F1410" w:rsidRDefault="00435DD5" w:rsidP="003066D9">
      <w:pPr>
        <w:pStyle w:val="Headerfooter"/>
        <w:rPr>
          <w:color w:val="auto"/>
          <w:szCs w:val="20"/>
        </w:rPr>
      </w:pPr>
      <w:r w:rsidRPr="001F1410">
        <w:rPr>
          <w:color w:val="auto"/>
          <w:szCs w:val="20"/>
        </w:rPr>
        <w:t>IPC now has a dedicated intranet page whereby t</w:t>
      </w:r>
      <w:r w:rsidR="009D270A" w:rsidRPr="001F1410">
        <w:rPr>
          <w:color w:val="auto"/>
          <w:szCs w:val="20"/>
        </w:rPr>
        <w:t xml:space="preserve">he newly appointed IPC Administrator/Support Secretary takes lead on the design, </w:t>
      </w:r>
      <w:proofErr w:type="gramStart"/>
      <w:r w:rsidR="009D270A" w:rsidRPr="001F1410">
        <w:rPr>
          <w:color w:val="auto"/>
          <w:szCs w:val="20"/>
        </w:rPr>
        <w:t>upload</w:t>
      </w:r>
      <w:proofErr w:type="gramEnd"/>
      <w:r w:rsidR="009D270A" w:rsidRPr="001F1410">
        <w:rPr>
          <w:color w:val="auto"/>
          <w:szCs w:val="20"/>
        </w:rPr>
        <w:t xml:space="preserve"> and update of content</w:t>
      </w:r>
      <w:r w:rsidRPr="001F1410">
        <w:rPr>
          <w:color w:val="auto"/>
          <w:szCs w:val="20"/>
        </w:rPr>
        <w:t xml:space="preserve">. </w:t>
      </w:r>
      <w:r w:rsidR="009D270A" w:rsidRPr="001F1410">
        <w:rPr>
          <w:color w:val="auto"/>
          <w:szCs w:val="20"/>
        </w:rPr>
        <w:t xml:space="preserve"> </w:t>
      </w:r>
    </w:p>
    <w:p w14:paraId="70A0D1F7" w14:textId="77777777" w:rsidR="00FB236D" w:rsidRDefault="00FB236D" w:rsidP="005340FF">
      <w:pPr>
        <w:pStyle w:val="Headerfooter"/>
        <w:rPr>
          <w:color w:val="auto"/>
          <w:szCs w:val="20"/>
        </w:rPr>
      </w:pPr>
    </w:p>
    <w:p w14:paraId="7D5C753A" w14:textId="2AD42699" w:rsidR="00FB236D" w:rsidRPr="00123C13" w:rsidRDefault="00FB236D" w:rsidP="005340FF">
      <w:pPr>
        <w:pStyle w:val="Headerfooter"/>
        <w:rPr>
          <w:b/>
          <w:bCs/>
          <w:color w:val="auto"/>
          <w:szCs w:val="20"/>
          <w:u w:val="single"/>
        </w:rPr>
      </w:pPr>
      <w:r w:rsidRPr="00123C13">
        <w:rPr>
          <w:b/>
          <w:bCs/>
          <w:color w:val="auto"/>
          <w:szCs w:val="20"/>
          <w:u w:val="single"/>
        </w:rPr>
        <w:t>Medical Illustration Team</w:t>
      </w:r>
    </w:p>
    <w:p w14:paraId="12A68768" w14:textId="6F650723" w:rsidR="00F073F7" w:rsidRPr="00D91616" w:rsidRDefault="00FB236D" w:rsidP="00F073F7">
      <w:pPr>
        <w:rPr>
          <w:bCs/>
          <w:sz w:val="20"/>
          <w:szCs w:val="18"/>
        </w:rPr>
      </w:pPr>
      <w:r w:rsidRPr="00D91616">
        <w:rPr>
          <w:bCs/>
          <w:sz w:val="20"/>
          <w:szCs w:val="18"/>
        </w:rPr>
        <w:t>The IPC team have strong links to the Medical Illustration team who have provided much help and support this year to enable us to deliver key information to staff and patients.  Examples include:</w:t>
      </w:r>
    </w:p>
    <w:p w14:paraId="233925C6" w14:textId="16BB2D58" w:rsidR="00FB236D" w:rsidRPr="00D91616" w:rsidRDefault="00FB236D" w:rsidP="009D6D0B">
      <w:pPr>
        <w:pStyle w:val="ListParagraph"/>
        <w:numPr>
          <w:ilvl w:val="0"/>
          <w:numId w:val="36"/>
        </w:numPr>
        <w:rPr>
          <w:bCs/>
          <w:sz w:val="20"/>
          <w:szCs w:val="18"/>
        </w:rPr>
      </w:pPr>
      <w:r w:rsidRPr="00D91616">
        <w:rPr>
          <w:bCs/>
          <w:sz w:val="20"/>
          <w:szCs w:val="18"/>
        </w:rPr>
        <w:t xml:space="preserve">Bare below the elbow posters </w:t>
      </w:r>
    </w:p>
    <w:p w14:paraId="6624C192" w14:textId="77292375" w:rsidR="00FB236D" w:rsidRPr="00D91616" w:rsidRDefault="00FB236D" w:rsidP="009D6D0B">
      <w:pPr>
        <w:pStyle w:val="ListParagraph"/>
        <w:numPr>
          <w:ilvl w:val="0"/>
          <w:numId w:val="36"/>
        </w:numPr>
        <w:rPr>
          <w:bCs/>
          <w:sz w:val="20"/>
          <w:szCs w:val="18"/>
        </w:rPr>
      </w:pPr>
      <w:r w:rsidRPr="00D91616">
        <w:rPr>
          <w:bCs/>
          <w:sz w:val="20"/>
          <w:szCs w:val="18"/>
        </w:rPr>
        <w:t>COVID-19 related information</w:t>
      </w:r>
    </w:p>
    <w:p w14:paraId="09AC87D5" w14:textId="6A6C72CC" w:rsidR="00FB236D" w:rsidRPr="00D91616" w:rsidRDefault="00FB236D" w:rsidP="009D6D0B">
      <w:pPr>
        <w:pStyle w:val="ListParagraph"/>
        <w:numPr>
          <w:ilvl w:val="0"/>
          <w:numId w:val="36"/>
        </w:numPr>
        <w:rPr>
          <w:bCs/>
          <w:sz w:val="20"/>
          <w:szCs w:val="18"/>
        </w:rPr>
      </w:pPr>
      <w:r w:rsidRPr="00D91616">
        <w:rPr>
          <w:bCs/>
          <w:sz w:val="20"/>
          <w:szCs w:val="18"/>
        </w:rPr>
        <w:t>Outbreak signage</w:t>
      </w:r>
    </w:p>
    <w:p w14:paraId="6BDB2A2E" w14:textId="541CB0B0" w:rsidR="00FB236D" w:rsidRPr="00D91616" w:rsidRDefault="00FB236D" w:rsidP="009D6D0B">
      <w:pPr>
        <w:pStyle w:val="ListParagraph"/>
        <w:numPr>
          <w:ilvl w:val="0"/>
          <w:numId w:val="36"/>
        </w:numPr>
        <w:rPr>
          <w:bCs/>
          <w:sz w:val="20"/>
          <w:szCs w:val="18"/>
        </w:rPr>
      </w:pPr>
      <w:r w:rsidRPr="00D91616">
        <w:rPr>
          <w:bCs/>
          <w:sz w:val="20"/>
          <w:szCs w:val="18"/>
        </w:rPr>
        <w:t>Re-branding logos</w:t>
      </w:r>
    </w:p>
    <w:p w14:paraId="4845A5AE" w14:textId="05BBE683" w:rsidR="00FB236D" w:rsidRPr="00D91616" w:rsidRDefault="00FB236D" w:rsidP="009D6D0B">
      <w:pPr>
        <w:pStyle w:val="ListParagraph"/>
        <w:numPr>
          <w:ilvl w:val="0"/>
          <w:numId w:val="36"/>
        </w:numPr>
        <w:rPr>
          <w:bCs/>
          <w:sz w:val="20"/>
          <w:szCs w:val="18"/>
        </w:rPr>
      </w:pPr>
      <w:r w:rsidRPr="00D91616">
        <w:rPr>
          <w:bCs/>
          <w:sz w:val="20"/>
          <w:szCs w:val="18"/>
        </w:rPr>
        <w:t>Driver diagram design</w:t>
      </w:r>
    </w:p>
    <w:p w14:paraId="01EC40E7" w14:textId="20712D4F" w:rsidR="00FB236D" w:rsidRPr="00D91616" w:rsidRDefault="00FB236D" w:rsidP="00F073F7">
      <w:pPr>
        <w:rPr>
          <w:bCs/>
          <w:sz w:val="20"/>
          <w:szCs w:val="18"/>
        </w:rPr>
      </w:pPr>
      <w:r w:rsidRPr="00D91616">
        <w:rPr>
          <w:bCs/>
          <w:sz w:val="20"/>
          <w:szCs w:val="18"/>
        </w:rPr>
        <w:t>We continue to be supported by the team who provide us with a prompt service; enabling us to relay information in a professional, and timely manner.</w:t>
      </w:r>
    </w:p>
    <w:p w14:paraId="5E3E04D3" w14:textId="77777777" w:rsidR="00FB236D" w:rsidRPr="00D91616" w:rsidRDefault="00FB236D" w:rsidP="00F073F7">
      <w:pPr>
        <w:rPr>
          <w:b/>
          <w:sz w:val="22"/>
          <w:szCs w:val="20"/>
          <w:u w:val="single"/>
        </w:rPr>
      </w:pPr>
    </w:p>
    <w:p w14:paraId="495204E8" w14:textId="5B052940" w:rsidR="001F1410" w:rsidRPr="00D91616" w:rsidRDefault="00993128" w:rsidP="00F073F7">
      <w:pPr>
        <w:rPr>
          <w:b/>
        </w:rPr>
      </w:pPr>
      <w:r w:rsidRPr="00284DE7">
        <w:rPr>
          <w:b/>
        </w:rPr>
        <w:t xml:space="preserve">Criterion 5: Ensure prompt identification of people who have or are at risk of developing an </w:t>
      </w:r>
      <w:proofErr w:type="gramStart"/>
      <w:r w:rsidRPr="00284DE7">
        <w:rPr>
          <w:b/>
        </w:rPr>
        <w:t>infection</w:t>
      </w:r>
      <w:proofErr w:type="gramEnd"/>
    </w:p>
    <w:p w14:paraId="5E4FE00F" w14:textId="7AC61E4C" w:rsidR="001F1410" w:rsidRDefault="001F1410" w:rsidP="00F073F7">
      <w:pPr>
        <w:rPr>
          <w:bCs/>
          <w:sz w:val="20"/>
          <w:szCs w:val="20"/>
        </w:rPr>
      </w:pPr>
      <w:r w:rsidRPr="00D91616">
        <w:rPr>
          <w:bCs/>
          <w:sz w:val="20"/>
          <w:szCs w:val="20"/>
        </w:rPr>
        <w:t xml:space="preserve">The IPC team perform </w:t>
      </w:r>
      <w:proofErr w:type="gramStart"/>
      <w:r w:rsidRPr="00D91616">
        <w:rPr>
          <w:bCs/>
          <w:sz w:val="20"/>
          <w:szCs w:val="20"/>
        </w:rPr>
        <w:t>a number of</w:t>
      </w:r>
      <w:proofErr w:type="gramEnd"/>
      <w:r w:rsidRPr="00D91616">
        <w:rPr>
          <w:bCs/>
          <w:sz w:val="20"/>
          <w:szCs w:val="20"/>
        </w:rPr>
        <w:t xml:space="preserve"> activities tha</w:t>
      </w:r>
      <w:r w:rsidR="007D2EDC" w:rsidRPr="00D91616">
        <w:rPr>
          <w:bCs/>
          <w:sz w:val="20"/>
          <w:szCs w:val="20"/>
        </w:rPr>
        <w:t>t</w:t>
      </w:r>
      <w:r w:rsidRPr="00D91616">
        <w:rPr>
          <w:bCs/>
          <w:sz w:val="20"/>
          <w:szCs w:val="20"/>
        </w:rPr>
        <w:t xml:space="preserve"> minimise the risk of infection to patients, staff and visitors including advice on all aspects of infection prevention and control; education and training; audit; formulating policies and procedures; interpreting and implementing national guidance at a local level; alert organism surveillance and managing outbreaks of infection</w:t>
      </w:r>
      <w:r w:rsidR="0052457E">
        <w:rPr>
          <w:bCs/>
          <w:sz w:val="20"/>
          <w:szCs w:val="20"/>
        </w:rPr>
        <w:t>.</w:t>
      </w:r>
    </w:p>
    <w:p w14:paraId="1D762200" w14:textId="77777777" w:rsidR="0052457E" w:rsidRPr="00D91616" w:rsidRDefault="0052457E" w:rsidP="00F073F7">
      <w:pPr>
        <w:rPr>
          <w:bCs/>
          <w:sz w:val="20"/>
          <w:szCs w:val="20"/>
        </w:rPr>
      </w:pPr>
    </w:p>
    <w:p w14:paraId="566CCF08" w14:textId="5458351D" w:rsidR="001F1410" w:rsidRPr="00D91616" w:rsidRDefault="001F1410" w:rsidP="00F073F7">
      <w:pPr>
        <w:rPr>
          <w:bCs/>
          <w:sz w:val="20"/>
          <w:szCs w:val="20"/>
          <w:u w:val="single"/>
        </w:rPr>
      </w:pPr>
      <w:r w:rsidRPr="00D91616">
        <w:rPr>
          <w:bCs/>
          <w:sz w:val="20"/>
          <w:szCs w:val="20"/>
          <w:u w:val="single"/>
        </w:rPr>
        <w:t>Oswestry Infection Control (OIC)</w:t>
      </w:r>
    </w:p>
    <w:p w14:paraId="5E1C8511" w14:textId="7D1D56AD" w:rsidR="00647F06" w:rsidRDefault="00DC63F5" w:rsidP="00DC63F5">
      <w:pPr>
        <w:rPr>
          <w:sz w:val="20"/>
          <w:szCs w:val="20"/>
        </w:rPr>
      </w:pPr>
      <w:r w:rsidRPr="00D91616">
        <w:rPr>
          <w:sz w:val="20"/>
          <w:szCs w:val="20"/>
        </w:rPr>
        <w:t>The IPC team receive a daily report</w:t>
      </w:r>
      <w:r w:rsidR="002578FC" w:rsidRPr="00D91616">
        <w:rPr>
          <w:sz w:val="20"/>
          <w:szCs w:val="20"/>
        </w:rPr>
        <w:t xml:space="preserve"> (between Mon-Fri)</w:t>
      </w:r>
      <w:r w:rsidRPr="00D91616">
        <w:rPr>
          <w:sz w:val="20"/>
          <w:szCs w:val="20"/>
        </w:rPr>
        <w:t xml:space="preserve"> which iden</w:t>
      </w:r>
      <w:r w:rsidR="002578FC" w:rsidRPr="00D91616">
        <w:rPr>
          <w:sz w:val="20"/>
          <w:szCs w:val="20"/>
        </w:rPr>
        <w:t>tif</w:t>
      </w:r>
      <w:r w:rsidR="001F1410" w:rsidRPr="00D91616">
        <w:rPr>
          <w:sz w:val="20"/>
          <w:szCs w:val="20"/>
        </w:rPr>
        <w:t>ies</w:t>
      </w:r>
      <w:r w:rsidRPr="00D91616">
        <w:rPr>
          <w:sz w:val="20"/>
          <w:szCs w:val="20"/>
        </w:rPr>
        <w:t xml:space="preserve"> all positive samples sent to the lab</w:t>
      </w:r>
      <w:r w:rsidR="005521DA" w:rsidRPr="00D91616">
        <w:rPr>
          <w:sz w:val="20"/>
          <w:szCs w:val="20"/>
        </w:rPr>
        <w:t>oratory</w:t>
      </w:r>
      <w:r w:rsidRPr="00D91616">
        <w:rPr>
          <w:sz w:val="20"/>
          <w:szCs w:val="20"/>
        </w:rPr>
        <w:t xml:space="preserve"> as part of the Oswestry Infection Control (OIC) reporting system.  T</w:t>
      </w:r>
      <w:r w:rsidR="005D1382" w:rsidRPr="00D91616">
        <w:rPr>
          <w:sz w:val="20"/>
          <w:szCs w:val="20"/>
        </w:rPr>
        <w:t>his system enables</w:t>
      </w:r>
      <w:r w:rsidRPr="00D91616">
        <w:rPr>
          <w:sz w:val="20"/>
          <w:szCs w:val="20"/>
        </w:rPr>
        <w:t xml:space="preserve"> the IPC team to </w:t>
      </w:r>
      <w:r w:rsidR="005D1382" w:rsidRPr="00D91616">
        <w:rPr>
          <w:sz w:val="20"/>
          <w:szCs w:val="20"/>
        </w:rPr>
        <w:t xml:space="preserve">advise and support on </w:t>
      </w:r>
      <w:r w:rsidR="008265B5" w:rsidRPr="00D91616">
        <w:rPr>
          <w:sz w:val="20"/>
          <w:szCs w:val="20"/>
        </w:rPr>
        <w:t xml:space="preserve">the management of patients’ infections; including patient placement, </w:t>
      </w:r>
      <w:proofErr w:type="gramStart"/>
      <w:r w:rsidR="008265B5" w:rsidRPr="00D91616">
        <w:rPr>
          <w:sz w:val="20"/>
          <w:szCs w:val="20"/>
        </w:rPr>
        <w:t>in order to</w:t>
      </w:r>
      <w:proofErr w:type="gramEnd"/>
      <w:r w:rsidR="008265B5" w:rsidRPr="00D91616">
        <w:rPr>
          <w:sz w:val="20"/>
          <w:szCs w:val="20"/>
        </w:rPr>
        <w:t xml:space="preserve"> reduce risk of cross-infection. </w:t>
      </w:r>
    </w:p>
    <w:p w14:paraId="0853F10E" w14:textId="77777777" w:rsidR="0052457E" w:rsidRPr="00D91616" w:rsidRDefault="0052457E" w:rsidP="00DC63F5">
      <w:pPr>
        <w:rPr>
          <w:sz w:val="20"/>
          <w:szCs w:val="20"/>
        </w:rPr>
      </w:pPr>
    </w:p>
    <w:p w14:paraId="6A7816EB" w14:textId="44AF0693" w:rsidR="00DC63F5" w:rsidRPr="00D91616" w:rsidRDefault="008265B5" w:rsidP="003066D9">
      <w:pPr>
        <w:pStyle w:val="ListParagraph"/>
        <w:rPr>
          <w:sz w:val="20"/>
          <w:szCs w:val="20"/>
          <w:u w:val="single"/>
        </w:rPr>
      </w:pPr>
      <w:r w:rsidRPr="00D91616">
        <w:rPr>
          <w:sz w:val="20"/>
          <w:szCs w:val="20"/>
          <w:u w:val="single"/>
        </w:rPr>
        <w:lastRenderedPageBreak/>
        <w:t>MRSA screening</w:t>
      </w:r>
    </w:p>
    <w:p w14:paraId="1D440112" w14:textId="77777777" w:rsidR="008265B5" w:rsidRPr="00D91616" w:rsidRDefault="008265B5" w:rsidP="003066D9">
      <w:pPr>
        <w:pStyle w:val="ListParagraph"/>
        <w:rPr>
          <w:sz w:val="20"/>
          <w:szCs w:val="20"/>
          <w:u w:val="single"/>
        </w:rPr>
      </w:pPr>
    </w:p>
    <w:p w14:paraId="197224CD" w14:textId="62833B23" w:rsidR="008265B5" w:rsidRPr="00D91616" w:rsidRDefault="006B70C8" w:rsidP="008265B5">
      <w:pPr>
        <w:pStyle w:val="ListParagraph"/>
        <w:rPr>
          <w:sz w:val="20"/>
          <w:szCs w:val="20"/>
        </w:rPr>
      </w:pPr>
      <w:proofErr w:type="spellStart"/>
      <w:r w:rsidRPr="00D91616">
        <w:rPr>
          <w:sz w:val="20"/>
          <w:szCs w:val="20"/>
        </w:rPr>
        <w:t>Meticillin</w:t>
      </w:r>
      <w:proofErr w:type="spellEnd"/>
      <w:r w:rsidRPr="00D91616">
        <w:rPr>
          <w:sz w:val="20"/>
          <w:szCs w:val="20"/>
        </w:rPr>
        <w:t>-Resistant Staphylococcus Aureus (</w:t>
      </w:r>
      <w:r w:rsidR="008265B5" w:rsidRPr="00D91616">
        <w:rPr>
          <w:sz w:val="20"/>
          <w:szCs w:val="20"/>
        </w:rPr>
        <w:t>MRSA</w:t>
      </w:r>
      <w:r w:rsidRPr="00D91616">
        <w:rPr>
          <w:sz w:val="20"/>
          <w:szCs w:val="20"/>
        </w:rPr>
        <w:t>)</w:t>
      </w:r>
      <w:r w:rsidR="008265B5" w:rsidRPr="00D91616">
        <w:rPr>
          <w:sz w:val="20"/>
          <w:szCs w:val="20"/>
        </w:rPr>
        <w:t xml:space="preserve"> is a type of bacteria that usually lives harmlessly on the skin, but if it gets into the body, it can cause serious infection that needs immediate treatment with antibiotics.  </w:t>
      </w:r>
    </w:p>
    <w:p w14:paraId="5638D292" w14:textId="77777777" w:rsidR="008265B5" w:rsidRPr="00D91616" w:rsidRDefault="008265B5" w:rsidP="008265B5">
      <w:pPr>
        <w:pStyle w:val="ListParagraph"/>
        <w:rPr>
          <w:sz w:val="20"/>
          <w:szCs w:val="20"/>
        </w:rPr>
      </w:pPr>
    </w:p>
    <w:p w14:paraId="648AC08C" w14:textId="62D14DC1" w:rsidR="008265B5" w:rsidRPr="00D91616" w:rsidRDefault="008265B5" w:rsidP="008265B5">
      <w:pPr>
        <w:pStyle w:val="ListParagraph"/>
        <w:rPr>
          <w:sz w:val="20"/>
          <w:szCs w:val="20"/>
        </w:rPr>
      </w:pPr>
      <w:r w:rsidRPr="00D91616">
        <w:rPr>
          <w:sz w:val="20"/>
          <w:szCs w:val="20"/>
        </w:rPr>
        <w:t xml:space="preserve">All elective surgical patients undergo screening for MRSA, and positive cases are alerted to the IPC team </w:t>
      </w:r>
      <w:proofErr w:type="gramStart"/>
      <w:r w:rsidRPr="00D91616">
        <w:rPr>
          <w:sz w:val="20"/>
          <w:szCs w:val="20"/>
        </w:rPr>
        <w:t>on a daily basis</w:t>
      </w:r>
      <w:proofErr w:type="gramEnd"/>
      <w:r w:rsidRPr="00D91616">
        <w:rPr>
          <w:sz w:val="20"/>
          <w:szCs w:val="20"/>
        </w:rPr>
        <w:t xml:space="preserve"> as part of the OIC reporting system.  This enables prompt recognition of MRSA so that decolonisation treatment can be offered to the </w:t>
      </w:r>
      <w:proofErr w:type="gramStart"/>
      <w:r w:rsidRPr="00D91616">
        <w:rPr>
          <w:sz w:val="20"/>
          <w:szCs w:val="20"/>
        </w:rPr>
        <w:t>patient;</w:t>
      </w:r>
      <w:proofErr w:type="gramEnd"/>
      <w:r w:rsidRPr="00D91616">
        <w:rPr>
          <w:sz w:val="20"/>
          <w:szCs w:val="20"/>
        </w:rPr>
        <w:t xml:space="preserve"> preventing potential postponements of surgery. </w:t>
      </w:r>
    </w:p>
    <w:p w14:paraId="41A89EB7" w14:textId="77777777" w:rsidR="008265B5" w:rsidRPr="00D91616" w:rsidRDefault="008265B5" w:rsidP="003066D9">
      <w:pPr>
        <w:pStyle w:val="ListParagraph"/>
        <w:rPr>
          <w:sz w:val="20"/>
          <w:szCs w:val="20"/>
          <w:u w:val="single"/>
        </w:rPr>
      </w:pPr>
    </w:p>
    <w:p w14:paraId="079DA478" w14:textId="7EDF0316" w:rsidR="0008288E" w:rsidRPr="00D91616" w:rsidRDefault="0008288E" w:rsidP="0008288E">
      <w:pPr>
        <w:pStyle w:val="ListParagraph"/>
        <w:rPr>
          <w:sz w:val="20"/>
          <w:szCs w:val="20"/>
        </w:rPr>
      </w:pPr>
      <w:r w:rsidRPr="00D91616">
        <w:rPr>
          <w:sz w:val="20"/>
          <w:szCs w:val="20"/>
        </w:rPr>
        <w:t xml:space="preserve">The graph and table below </w:t>
      </w:r>
      <w:proofErr w:type="gramStart"/>
      <w:r w:rsidRPr="00D91616">
        <w:rPr>
          <w:sz w:val="20"/>
          <w:szCs w:val="20"/>
        </w:rPr>
        <w:t>demonstrates</w:t>
      </w:r>
      <w:proofErr w:type="gramEnd"/>
      <w:r w:rsidRPr="00D91616">
        <w:rPr>
          <w:sz w:val="20"/>
          <w:szCs w:val="20"/>
        </w:rPr>
        <w:t xml:space="preserve"> the MRSA screening compliance which is consistently above 99%, set against a Trust target of 100%.</w:t>
      </w:r>
    </w:p>
    <w:p w14:paraId="093E9B49" w14:textId="7666C304" w:rsidR="00C516BB" w:rsidRDefault="00C516BB" w:rsidP="0008288E">
      <w:pPr>
        <w:pStyle w:val="ListParagraph"/>
        <w:rPr>
          <w:sz w:val="20"/>
          <w:szCs w:val="20"/>
        </w:rPr>
      </w:pPr>
    </w:p>
    <w:p w14:paraId="5F547560" w14:textId="0053124C" w:rsidR="00C516BB" w:rsidRPr="0008288E" w:rsidRDefault="00C516BB" w:rsidP="0008288E">
      <w:pPr>
        <w:pStyle w:val="ListParagraph"/>
        <w:rPr>
          <w:sz w:val="20"/>
          <w:szCs w:val="20"/>
        </w:rPr>
      </w:pPr>
    </w:p>
    <w:p w14:paraId="1C142D1C" w14:textId="5EF46540" w:rsidR="00DC63F5" w:rsidRDefault="00A23200" w:rsidP="003066D9">
      <w:pPr>
        <w:pStyle w:val="ListParagraph"/>
        <w:rPr>
          <w:sz w:val="22"/>
        </w:rPr>
      </w:pPr>
      <w:r>
        <w:rPr>
          <w:noProof/>
          <w:sz w:val="22"/>
        </w:rPr>
        <w:drawing>
          <wp:inline distT="0" distB="0" distL="0" distR="0" wp14:anchorId="17F9B46B" wp14:editId="4E977739">
            <wp:extent cx="6266486" cy="330390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9833" cy="3305670"/>
                    </a:xfrm>
                    <a:prstGeom prst="rect">
                      <a:avLst/>
                    </a:prstGeom>
                    <a:noFill/>
                  </pic:spPr>
                </pic:pic>
              </a:graphicData>
            </a:graphic>
          </wp:inline>
        </w:drawing>
      </w:r>
    </w:p>
    <w:p w14:paraId="60DD3F76" w14:textId="0580DF81" w:rsidR="00A23200" w:rsidRDefault="00A23200" w:rsidP="003066D9">
      <w:pPr>
        <w:pStyle w:val="ListParagraph"/>
        <w:rPr>
          <w:sz w:val="22"/>
        </w:rPr>
      </w:pPr>
      <w:r w:rsidRPr="00A23200">
        <w:rPr>
          <w:noProof/>
        </w:rPr>
        <w:drawing>
          <wp:anchor distT="0" distB="0" distL="114300" distR="114300" simplePos="0" relativeHeight="251917312" behindDoc="0" locked="0" layoutInCell="1" allowOverlap="1" wp14:anchorId="38CE569C" wp14:editId="58EA138B">
            <wp:simplePos x="0" y="0"/>
            <wp:positionH relativeFrom="column">
              <wp:posOffset>107950</wp:posOffset>
            </wp:positionH>
            <wp:positionV relativeFrom="paragraph">
              <wp:posOffset>160655</wp:posOffset>
            </wp:positionV>
            <wp:extent cx="6105525" cy="579120"/>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5525" cy="57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5DB9F" w14:textId="6482039B" w:rsidR="00A23200" w:rsidRDefault="00A23200" w:rsidP="003066D9">
      <w:pPr>
        <w:pStyle w:val="ListParagraph"/>
        <w:rPr>
          <w:sz w:val="22"/>
        </w:rPr>
      </w:pPr>
    </w:p>
    <w:p w14:paraId="3419DC26" w14:textId="77777777" w:rsidR="00A23200" w:rsidRPr="003C50E1" w:rsidRDefault="00A23200" w:rsidP="003066D9">
      <w:pPr>
        <w:pStyle w:val="ListParagraph"/>
        <w:rPr>
          <w:sz w:val="22"/>
        </w:rPr>
      </w:pPr>
    </w:p>
    <w:p w14:paraId="4D1348B0" w14:textId="39AB8E5A" w:rsidR="00DA6347" w:rsidRPr="003C50E1" w:rsidRDefault="00DA6347" w:rsidP="001464BB">
      <w:pPr>
        <w:pStyle w:val="ListParagraph"/>
        <w:ind w:left="567"/>
      </w:pPr>
    </w:p>
    <w:p w14:paraId="77D866A5" w14:textId="77777777" w:rsidR="00743146" w:rsidRPr="003C50E1" w:rsidRDefault="00743146" w:rsidP="008F55BA">
      <w:pPr>
        <w:pStyle w:val="ListParagraph"/>
        <w:rPr>
          <w:sz w:val="22"/>
        </w:rPr>
      </w:pPr>
    </w:p>
    <w:p w14:paraId="435D9647" w14:textId="77777777" w:rsidR="00A23200" w:rsidRPr="003850E1" w:rsidRDefault="00A23200" w:rsidP="00220AE9">
      <w:pPr>
        <w:pStyle w:val="ListParagraph"/>
        <w:rPr>
          <w:bCs/>
          <w:sz w:val="22"/>
          <w:u w:val="single"/>
        </w:rPr>
      </w:pPr>
    </w:p>
    <w:p w14:paraId="70C383C8" w14:textId="6B6989B2" w:rsidR="00220AE9" w:rsidRDefault="00220AE9" w:rsidP="00220AE9">
      <w:pPr>
        <w:pStyle w:val="ListParagraph"/>
        <w:rPr>
          <w:bCs/>
          <w:sz w:val="22"/>
          <w:u w:val="single"/>
        </w:rPr>
      </w:pPr>
      <w:r w:rsidRPr="003850E1">
        <w:rPr>
          <w:bCs/>
          <w:sz w:val="22"/>
          <w:u w:val="single"/>
        </w:rPr>
        <w:t xml:space="preserve">Surgical Site </w:t>
      </w:r>
      <w:r w:rsidR="004F27A5">
        <w:rPr>
          <w:bCs/>
          <w:sz w:val="22"/>
          <w:u w:val="single"/>
        </w:rPr>
        <w:t xml:space="preserve">Infection </w:t>
      </w:r>
      <w:r w:rsidRPr="003850E1">
        <w:rPr>
          <w:bCs/>
          <w:sz w:val="22"/>
          <w:u w:val="single"/>
        </w:rPr>
        <w:t>Surveillance</w:t>
      </w:r>
      <w:r w:rsidR="004F27A5">
        <w:rPr>
          <w:bCs/>
          <w:sz w:val="22"/>
          <w:u w:val="single"/>
        </w:rPr>
        <w:t xml:space="preserve"> Service</w:t>
      </w:r>
      <w:r w:rsidRPr="003850E1">
        <w:rPr>
          <w:bCs/>
          <w:sz w:val="22"/>
          <w:u w:val="single"/>
        </w:rPr>
        <w:t xml:space="preserve"> (SSI</w:t>
      </w:r>
      <w:r w:rsidR="004F27A5">
        <w:rPr>
          <w:bCs/>
          <w:sz w:val="22"/>
          <w:u w:val="single"/>
        </w:rPr>
        <w:t>SS</w:t>
      </w:r>
      <w:r w:rsidRPr="003850E1">
        <w:rPr>
          <w:bCs/>
          <w:sz w:val="22"/>
          <w:u w:val="single"/>
        </w:rPr>
        <w:t>)</w:t>
      </w:r>
      <w:r w:rsidR="00AA7C4E">
        <w:rPr>
          <w:bCs/>
          <w:sz w:val="22"/>
          <w:u w:val="single"/>
        </w:rPr>
        <w:t xml:space="preserve"> </w:t>
      </w:r>
    </w:p>
    <w:p w14:paraId="20970929" w14:textId="77777777" w:rsidR="00CE4635" w:rsidRDefault="00CE4635" w:rsidP="00220AE9">
      <w:pPr>
        <w:pStyle w:val="ListParagraph"/>
        <w:rPr>
          <w:bCs/>
          <w:sz w:val="22"/>
          <w:u w:val="single"/>
        </w:rPr>
      </w:pPr>
    </w:p>
    <w:p w14:paraId="0FD964AD" w14:textId="5EBA0E81" w:rsidR="00CE4635" w:rsidRPr="006262B8" w:rsidRDefault="004F27A5" w:rsidP="00220AE9">
      <w:pPr>
        <w:pStyle w:val="ListParagraph"/>
        <w:rPr>
          <w:bCs/>
          <w:sz w:val="20"/>
          <w:szCs w:val="20"/>
        </w:rPr>
      </w:pPr>
      <w:r w:rsidRPr="006262B8">
        <w:rPr>
          <w:bCs/>
          <w:sz w:val="20"/>
          <w:szCs w:val="20"/>
        </w:rPr>
        <w:t>Infections acquired in hospital are recognised as being associated with significant morbidity.  They can result in extended length of hospital stay, pain, discomf</w:t>
      </w:r>
      <w:r w:rsidR="007375A8" w:rsidRPr="006262B8">
        <w:rPr>
          <w:bCs/>
          <w:sz w:val="20"/>
          <w:szCs w:val="20"/>
        </w:rPr>
        <w:t>o</w:t>
      </w:r>
      <w:r w:rsidRPr="006262B8">
        <w:rPr>
          <w:bCs/>
          <w:sz w:val="20"/>
          <w:szCs w:val="20"/>
        </w:rPr>
        <w:t xml:space="preserve">rt and sometimes </w:t>
      </w:r>
      <w:proofErr w:type="spellStart"/>
      <w:r w:rsidRPr="006262B8">
        <w:rPr>
          <w:bCs/>
          <w:sz w:val="20"/>
          <w:szCs w:val="20"/>
        </w:rPr>
        <w:t>permenant</w:t>
      </w:r>
      <w:proofErr w:type="spellEnd"/>
      <w:r w:rsidRPr="006262B8">
        <w:rPr>
          <w:bCs/>
          <w:sz w:val="20"/>
          <w:szCs w:val="20"/>
        </w:rPr>
        <w:t xml:space="preserve"> disability.</w:t>
      </w:r>
      <w:r w:rsidR="007375A8" w:rsidRPr="006262B8">
        <w:rPr>
          <w:bCs/>
          <w:sz w:val="20"/>
          <w:szCs w:val="20"/>
        </w:rPr>
        <w:t xml:space="preserve">  Infections of the surgical site account for approximately 16% of all hospital acquired infections, are estimated to double the length of post-operative stay in hospital and significantly increase the cost of care.    </w:t>
      </w:r>
      <w:r w:rsidRPr="006262B8">
        <w:rPr>
          <w:bCs/>
          <w:sz w:val="20"/>
          <w:szCs w:val="20"/>
        </w:rPr>
        <w:t xml:space="preserve">  </w:t>
      </w:r>
    </w:p>
    <w:p w14:paraId="20D84C90" w14:textId="083EE5D5" w:rsidR="00220AE9" w:rsidRPr="006262B8" w:rsidRDefault="007375A8" w:rsidP="00220AE9">
      <w:pPr>
        <w:pStyle w:val="Table-text"/>
        <w:rPr>
          <w:szCs w:val="20"/>
          <w:highlight w:val="yellow"/>
        </w:rPr>
      </w:pPr>
      <w:r w:rsidRPr="006262B8">
        <w:rPr>
          <w:szCs w:val="20"/>
        </w:rPr>
        <w:t>In April 2004, surveillance of surgical site infections (SSIs) in orthopaedic surgery became mandatory for all English NHS Trusts.</w:t>
      </w:r>
      <w:r w:rsidR="007D2EDC" w:rsidRPr="006262B8">
        <w:rPr>
          <w:szCs w:val="20"/>
        </w:rPr>
        <w:t xml:space="preserve">  RJAH </w:t>
      </w:r>
      <w:r w:rsidR="00220AE9" w:rsidRPr="006262B8">
        <w:rPr>
          <w:szCs w:val="20"/>
        </w:rPr>
        <w:t xml:space="preserve">submits surgical site infection data to the </w:t>
      </w:r>
      <w:r w:rsidR="002578FC" w:rsidRPr="006262B8">
        <w:rPr>
          <w:szCs w:val="20"/>
        </w:rPr>
        <w:t>UK Health Security Agency (UKHSA)</w:t>
      </w:r>
      <w:r w:rsidR="00220AE9" w:rsidRPr="006262B8">
        <w:rPr>
          <w:szCs w:val="20"/>
        </w:rPr>
        <w:t xml:space="preserve"> database on a quarterly basis. </w:t>
      </w:r>
    </w:p>
    <w:p w14:paraId="33C44BEC" w14:textId="77777777" w:rsidR="00220AE9" w:rsidRPr="00550870" w:rsidRDefault="00220AE9" w:rsidP="00220AE9">
      <w:pPr>
        <w:pStyle w:val="Table-text"/>
        <w:rPr>
          <w:szCs w:val="20"/>
          <w:highlight w:val="yellow"/>
        </w:rPr>
      </w:pPr>
    </w:p>
    <w:p w14:paraId="0CA164AB" w14:textId="0EA2CDC1" w:rsidR="00220AE9" w:rsidRPr="007D2EDC" w:rsidRDefault="007D2EDC" w:rsidP="00220AE9">
      <w:pPr>
        <w:pStyle w:val="Table-text"/>
        <w:rPr>
          <w:szCs w:val="20"/>
        </w:rPr>
      </w:pPr>
      <w:r w:rsidRPr="007D2EDC">
        <w:rPr>
          <w:szCs w:val="20"/>
        </w:rPr>
        <w:t>The UK Health Security Agency (</w:t>
      </w:r>
      <w:r w:rsidR="003C188A" w:rsidRPr="007D2EDC">
        <w:rPr>
          <w:szCs w:val="20"/>
        </w:rPr>
        <w:t>UKHSA</w:t>
      </w:r>
      <w:r w:rsidRPr="007D2EDC">
        <w:rPr>
          <w:szCs w:val="20"/>
        </w:rPr>
        <w:t>)</w:t>
      </w:r>
      <w:r w:rsidR="003C188A" w:rsidRPr="007D2EDC">
        <w:rPr>
          <w:szCs w:val="20"/>
        </w:rPr>
        <w:t xml:space="preserve"> </w:t>
      </w:r>
      <w:r w:rsidR="00220AE9" w:rsidRPr="007D2EDC">
        <w:rPr>
          <w:szCs w:val="20"/>
        </w:rPr>
        <w:t xml:space="preserve">analyses the submitted data at quarterly intervals to identify hospitals whose SSI incidence </w:t>
      </w:r>
      <w:r w:rsidR="00514B78">
        <w:rPr>
          <w:szCs w:val="20"/>
        </w:rPr>
        <w:t>may be high or low</w:t>
      </w:r>
      <w:r w:rsidR="00220AE9" w:rsidRPr="007D2EDC">
        <w:rPr>
          <w:szCs w:val="20"/>
        </w:rPr>
        <w:t xml:space="preserve">, enabling the Trust to benchmark against the national rate of infection. </w:t>
      </w:r>
    </w:p>
    <w:p w14:paraId="5815516C" w14:textId="77777777" w:rsidR="00220AE9" w:rsidRPr="0027065A" w:rsidRDefault="00220AE9" w:rsidP="00220AE9">
      <w:pPr>
        <w:pStyle w:val="Table-text"/>
        <w:rPr>
          <w:szCs w:val="20"/>
        </w:rPr>
      </w:pPr>
    </w:p>
    <w:p w14:paraId="0A0EA349" w14:textId="7B06BC5A" w:rsidR="00325E3B" w:rsidRPr="00D91616" w:rsidRDefault="00220AE9" w:rsidP="00B87CE2">
      <w:pPr>
        <w:pStyle w:val="Table-text"/>
        <w:rPr>
          <w:szCs w:val="20"/>
        </w:rPr>
      </w:pPr>
      <w:r w:rsidRPr="00D91616">
        <w:rPr>
          <w:szCs w:val="20"/>
        </w:rPr>
        <w:t>From April 202</w:t>
      </w:r>
      <w:r w:rsidR="00550870" w:rsidRPr="00D91616">
        <w:rPr>
          <w:szCs w:val="20"/>
        </w:rPr>
        <w:t>2</w:t>
      </w:r>
      <w:r w:rsidRPr="00D91616">
        <w:rPr>
          <w:szCs w:val="20"/>
        </w:rPr>
        <w:t xml:space="preserve"> – </w:t>
      </w:r>
      <w:r w:rsidR="0001007B" w:rsidRPr="00D91616">
        <w:rPr>
          <w:szCs w:val="20"/>
        </w:rPr>
        <w:t>October</w:t>
      </w:r>
      <w:r w:rsidRPr="00D91616">
        <w:rPr>
          <w:szCs w:val="20"/>
        </w:rPr>
        <w:t xml:space="preserve"> 202</w:t>
      </w:r>
      <w:r w:rsidR="0001007B" w:rsidRPr="00D91616">
        <w:rPr>
          <w:szCs w:val="20"/>
        </w:rPr>
        <w:t>2</w:t>
      </w:r>
      <w:r w:rsidRPr="00D91616">
        <w:rPr>
          <w:szCs w:val="20"/>
        </w:rPr>
        <w:t xml:space="preserve">, </w:t>
      </w:r>
      <w:r w:rsidR="0001007B" w:rsidRPr="00D91616">
        <w:rPr>
          <w:szCs w:val="20"/>
        </w:rPr>
        <w:t xml:space="preserve">RJAH submitted data to SSISS </w:t>
      </w:r>
      <w:r w:rsidRPr="00D91616">
        <w:rPr>
          <w:szCs w:val="20"/>
        </w:rPr>
        <w:t xml:space="preserve">on </w:t>
      </w:r>
      <w:r w:rsidR="0001007B" w:rsidRPr="00D91616">
        <w:rPr>
          <w:szCs w:val="20"/>
        </w:rPr>
        <w:t xml:space="preserve">total of 2961 </w:t>
      </w:r>
      <w:r w:rsidRPr="00D91616">
        <w:rPr>
          <w:szCs w:val="20"/>
        </w:rPr>
        <w:t xml:space="preserve">operations – </w:t>
      </w:r>
      <w:r w:rsidR="0001007B" w:rsidRPr="00D91616">
        <w:rPr>
          <w:szCs w:val="20"/>
        </w:rPr>
        <w:t xml:space="preserve">1271 </w:t>
      </w:r>
      <w:r w:rsidRPr="00D91616">
        <w:rPr>
          <w:szCs w:val="20"/>
        </w:rPr>
        <w:t xml:space="preserve">Total Hip Replacements (THR), </w:t>
      </w:r>
      <w:r w:rsidR="0001007B" w:rsidRPr="00D91616">
        <w:rPr>
          <w:szCs w:val="20"/>
        </w:rPr>
        <w:t>1056</w:t>
      </w:r>
      <w:r w:rsidRPr="00D91616">
        <w:rPr>
          <w:szCs w:val="20"/>
        </w:rPr>
        <w:t xml:space="preserve"> Total Knee Replacements (</w:t>
      </w:r>
      <w:proofErr w:type="gramStart"/>
      <w:r w:rsidRPr="00D91616">
        <w:rPr>
          <w:szCs w:val="20"/>
        </w:rPr>
        <w:t>TKR)  and</w:t>
      </w:r>
      <w:proofErr w:type="gramEnd"/>
      <w:r w:rsidRPr="00D91616">
        <w:rPr>
          <w:szCs w:val="20"/>
        </w:rPr>
        <w:t xml:space="preserve"> </w:t>
      </w:r>
      <w:r w:rsidR="0001007B" w:rsidRPr="00D91616">
        <w:rPr>
          <w:szCs w:val="20"/>
        </w:rPr>
        <w:t>934</w:t>
      </w:r>
      <w:r w:rsidRPr="00D91616">
        <w:rPr>
          <w:szCs w:val="20"/>
        </w:rPr>
        <w:t xml:space="preserve"> Spinal surgeries was collected by the RJAH surgical site surveillance team.  During this period, there have been a total of </w:t>
      </w:r>
      <w:r w:rsidR="0001007B" w:rsidRPr="00D91616">
        <w:rPr>
          <w:szCs w:val="20"/>
        </w:rPr>
        <w:t>28</w:t>
      </w:r>
      <w:r w:rsidRPr="00D91616">
        <w:rPr>
          <w:szCs w:val="20"/>
        </w:rPr>
        <w:t xml:space="preserve"> SSIs reported, </w:t>
      </w:r>
      <w:r w:rsidR="0001007B" w:rsidRPr="00D91616">
        <w:rPr>
          <w:szCs w:val="20"/>
        </w:rPr>
        <w:t xml:space="preserve">15 </w:t>
      </w:r>
      <w:r w:rsidRPr="00D91616">
        <w:rPr>
          <w:szCs w:val="20"/>
        </w:rPr>
        <w:t xml:space="preserve">THR, </w:t>
      </w:r>
      <w:r w:rsidR="0001007B" w:rsidRPr="00D91616">
        <w:rPr>
          <w:szCs w:val="20"/>
        </w:rPr>
        <w:t>9</w:t>
      </w:r>
      <w:r w:rsidRPr="00D91616">
        <w:rPr>
          <w:szCs w:val="20"/>
        </w:rPr>
        <w:t xml:space="preserve"> TKR, and </w:t>
      </w:r>
      <w:r w:rsidR="0001007B" w:rsidRPr="00D91616">
        <w:rPr>
          <w:szCs w:val="20"/>
        </w:rPr>
        <w:t>4</w:t>
      </w:r>
      <w:r w:rsidR="003C188A" w:rsidRPr="00D91616">
        <w:rPr>
          <w:szCs w:val="20"/>
        </w:rPr>
        <w:t xml:space="preserve"> </w:t>
      </w:r>
      <w:r w:rsidRPr="00D91616">
        <w:rPr>
          <w:szCs w:val="20"/>
        </w:rPr>
        <w:t xml:space="preserve">spinal surgeries.  </w:t>
      </w:r>
    </w:p>
    <w:p w14:paraId="45412187" w14:textId="6EB01EFE" w:rsidR="00325E3B" w:rsidRPr="00D91616" w:rsidRDefault="00325E3B" w:rsidP="00B87CE2">
      <w:pPr>
        <w:pStyle w:val="Table-text"/>
        <w:rPr>
          <w:szCs w:val="20"/>
        </w:rPr>
      </w:pPr>
    </w:p>
    <w:p w14:paraId="3C873111" w14:textId="5D783983" w:rsidR="002A262B" w:rsidRPr="0027065A" w:rsidRDefault="002A262B" w:rsidP="002A262B">
      <w:pPr>
        <w:pStyle w:val="Table-text"/>
        <w:rPr>
          <w:szCs w:val="20"/>
        </w:rPr>
      </w:pPr>
      <w:r w:rsidRPr="00D91616">
        <w:rPr>
          <w:szCs w:val="20"/>
        </w:rPr>
        <w:lastRenderedPageBreak/>
        <w:t xml:space="preserve">The following graphs show the breakdown in </w:t>
      </w:r>
      <w:r w:rsidR="007F7C8D" w:rsidRPr="00D91616">
        <w:rPr>
          <w:szCs w:val="20"/>
        </w:rPr>
        <w:t>RJAH rate of surgical site infection</w:t>
      </w:r>
      <w:r w:rsidRPr="00D91616">
        <w:rPr>
          <w:szCs w:val="20"/>
        </w:rPr>
        <w:t xml:space="preserve">s reported to </w:t>
      </w:r>
      <w:proofErr w:type="gramStart"/>
      <w:r w:rsidRPr="00D91616">
        <w:rPr>
          <w:szCs w:val="20"/>
        </w:rPr>
        <w:t>UKHSA  between</w:t>
      </w:r>
      <w:proofErr w:type="gramEnd"/>
      <w:r w:rsidRPr="00D91616">
        <w:rPr>
          <w:szCs w:val="20"/>
        </w:rPr>
        <w:t xml:space="preserve"> January 201</w:t>
      </w:r>
      <w:r w:rsidR="007F7C8D" w:rsidRPr="00D91616">
        <w:rPr>
          <w:szCs w:val="20"/>
        </w:rPr>
        <w:t>9</w:t>
      </w:r>
      <w:r w:rsidRPr="00D91616">
        <w:rPr>
          <w:szCs w:val="20"/>
        </w:rPr>
        <w:t xml:space="preserve"> and December 202</w:t>
      </w:r>
      <w:r w:rsidR="007F7C8D" w:rsidRPr="00D91616">
        <w:rPr>
          <w:szCs w:val="20"/>
        </w:rPr>
        <w:t>2</w:t>
      </w:r>
      <w:r w:rsidRPr="00D91616">
        <w:rPr>
          <w:szCs w:val="20"/>
        </w:rPr>
        <w:t>.</w:t>
      </w:r>
      <w:r w:rsidR="00D91616">
        <w:rPr>
          <w:szCs w:val="20"/>
        </w:rPr>
        <w:t xml:space="preserve">  At the time </w:t>
      </w:r>
      <w:r w:rsidR="0058054A">
        <w:rPr>
          <w:szCs w:val="20"/>
        </w:rPr>
        <w:t>o</w:t>
      </w:r>
      <w:r w:rsidR="00D91616">
        <w:rPr>
          <w:szCs w:val="20"/>
        </w:rPr>
        <w:t>f writing this report, UKHSA have not yet reconciled SSI data for Jan-March which is why it is not shown below.</w:t>
      </w:r>
    </w:p>
    <w:p w14:paraId="75A1E623" w14:textId="5F06D442" w:rsidR="00325E3B" w:rsidRDefault="00325E3B" w:rsidP="00B87CE2">
      <w:pPr>
        <w:pStyle w:val="Table-text"/>
        <w:rPr>
          <w:szCs w:val="20"/>
        </w:rPr>
      </w:pPr>
    </w:p>
    <w:p w14:paraId="2409D872" w14:textId="6F61DA81" w:rsidR="00325E3B" w:rsidRDefault="00E75A8E" w:rsidP="00D57159">
      <w:pPr>
        <w:pStyle w:val="Table-text"/>
        <w:ind w:hanging="567"/>
        <w:jc w:val="center"/>
        <w:rPr>
          <w:szCs w:val="20"/>
        </w:rPr>
      </w:pPr>
      <w:r>
        <w:rPr>
          <w:noProof/>
        </w:rPr>
        <w:drawing>
          <wp:inline distT="0" distB="0" distL="0" distR="0" wp14:anchorId="18088A11" wp14:editId="1DF02DA0">
            <wp:extent cx="6522294" cy="4175547"/>
            <wp:effectExtent l="0" t="0" r="0" b="0"/>
            <wp:docPr id="3" name="Chart 3">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0A7A2DB" w14:textId="7020DC94" w:rsidR="00825665" w:rsidRDefault="007F7C8D" w:rsidP="00D57159">
      <w:pPr>
        <w:pStyle w:val="Table-text"/>
        <w:ind w:left="-567"/>
        <w:jc w:val="center"/>
        <w:rPr>
          <w:szCs w:val="20"/>
        </w:rPr>
      </w:pPr>
      <w:r>
        <w:rPr>
          <w:noProof/>
        </w:rPr>
        <w:drawing>
          <wp:inline distT="0" distB="0" distL="0" distR="0" wp14:anchorId="37BB1061" wp14:editId="23FBD3BC">
            <wp:extent cx="6532535" cy="3865880"/>
            <wp:effectExtent l="0" t="0" r="1905" b="1270"/>
            <wp:docPr id="12" name="Chart 12">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587BB95" w14:textId="77777777" w:rsidR="00155AF6" w:rsidRDefault="00155AF6" w:rsidP="00B87CE2">
      <w:pPr>
        <w:pStyle w:val="Table-text"/>
        <w:rPr>
          <w:szCs w:val="20"/>
        </w:rPr>
      </w:pPr>
    </w:p>
    <w:p w14:paraId="424C8DDF" w14:textId="08C9553E" w:rsidR="00B87CE2" w:rsidRDefault="007F7C8D" w:rsidP="00D57159">
      <w:pPr>
        <w:pStyle w:val="Table-text"/>
        <w:ind w:left="-567"/>
        <w:jc w:val="center"/>
        <w:rPr>
          <w:szCs w:val="20"/>
        </w:rPr>
      </w:pPr>
      <w:r>
        <w:rPr>
          <w:noProof/>
        </w:rPr>
        <w:lastRenderedPageBreak/>
        <w:drawing>
          <wp:inline distT="0" distB="0" distL="0" distR="0" wp14:anchorId="2ED7DE67" wp14:editId="1B04FED7">
            <wp:extent cx="6625525" cy="4002405"/>
            <wp:effectExtent l="0" t="0" r="4445" b="0"/>
            <wp:docPr id="18" name="Chart 18">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F217FB5" w14:textId="77777777" w:rsidR="00635DFF" w:rsidRDefault="00635DFF" w:rsidP="00E75A8E">
      <w:pPr>
        <w:ind w:right="171"/>
        <w:rPr>
          <w:sz w:val="20"/>
          <w:szCs w:val="20"/>
          <w:highlight w:val="yellow"/>
        </w:rPr>
      </w:pPr>
    </w:p>
    <w:p w14:paraId="14CB839A" w14:textId="6EACFEA6" w:rsidR="00635DFF" w:rsidRPr="00D91616" w:rsidRDefault="00635DFF" w:rsidP="00635DFF">
      <w:pPr>
        <w:rPr>
          <w:sz w:val="20"/>
          <w:szCs w:val="18"/>
        </w:rPr>
      </w:pPr>
      <w:r w:rsidRPr="00D91616">
        <w:rPr>
          <w:sz w:val="20"/>
          <w:szCs w:val="18"/>
        </w:rPr>
        <w:t xml:space="preserve">Further to an investigation into the reported rise in surgical site infections (SSI) for the July – September 22 period, outlier letters were received from UKHSA for Total Hip Replacements (THR) and Total Knee Replacements (TKR) for this period. </w:t>
      </w:r>
    </w:p>
    <w:p w14:paraId="53D8322A" w14:textId="7F471535" w:rsidR="0008085B" w:rsidRPr="00D91616" w:rsidRDefault="00635DFF" w:rsidP="0008085B">
      <w:pPr>
        <w:rPr>
          <w:sz w:val="20"/>
          <w:szCs w:val="18"/>
        </w:rPr>
      </w:pPr>
      <w:r w:rsidRPr="00D91616">
        <w:rPr>
          <w:sz w:val="20"/>
          <w:szCs w:val="18"/>
        </w:rPr>
        <w:t>A</w:t>
      </w:r>
      <w:r w:rsidR="0058054A">
        <w:rPr>
          <w:sz w:val="20"/>
          <w:szCs w:val="18"/>
        </w:rPr>
        <w:t>n</w:t>
      </w:r>
      <w:r w:rsidRPr="00D91616">
        <w:rPr>
          <w:sz w:val="20"/>
          <w:szCs w:val="18"/>
        </w:rPr>
        <w:t xml:space="preserve"> investigation was instigated with a tabletop exercises undertaken 4</w:t>
      </w:r>
      <w:r w:rsidRPr="00D91616">
        <w:rPr>
          <w:sz w:val="20"/>
          <w:szCs w:val="18"/>
          <w:vertAlign w:val="superscript"/>
        </w:rPr>
        <w:t>th</w:t>
      </w:r>
      <w:r w:rsidRPr="00D91616">
        <w:rPr>
          <w:sz w:val="20"/>
          <w:szCs w:val="18"/>
        </w:rPr>
        <w:t xml:space="preserve"> and 18</w:t>
      </w:r>
      <w:r w:rsidRPr="00D91616">
        <w:rPr>
          <w:sz w:val="20"/>
          <w:szCs w:val="18"/>
          <w:vertAlign w:val="superscript"/>
        </w:rPr>
        <w:t>th</w:t>
      </w:r>
      <w:r w:rsidRPr="00D91616">
        <w:rPr>
          <w:sz w:val="20"/>
          <w:szCs w:val="18"/>
        </w:rPr>
        <w:t xml:space="preserve"> November 2022 looking into cause and contributory factors using </w:t>
      </w:r>
      <w:proofErr w:type="spellStart"/>
      <w:r w:rsidRPr="00D91616">
        <w:rPr>
          <w:sz w:val="20"/>
          <w:szCs w:val="18"/>
        </w:rPr>
        <w:t>OneTogether</w:t>
      </w:r>
      <w:proofErr w:type="spellEnd"/>
      <w:r w:rsidRPr="00D91616">
        <w:rPr>
          <w:sz w:val="20"/>
          <w:szCs w:val="18"/>
        </w:rPr>
        <w:t xml:space="preserve"> audit framework.</w:t>
      </w:r>
    </w:p>
    <w:p w14:paraId="093CC5BB" w14:textId="77777777" w:rsidR="0008085B" w:rsidRPr="00D91616" w:rsidRDefault="0008085B" w:rsidP="0008085B">
      <w:pPr>
        <w:rPr>
          <w:sz w:val="20"/>
          <w:szCs w:val="20"/>
        </w:rPr>
      </w:pPr>
      <w:r w:rsidRPr="00D91616">
        <w:rPr>
          <w:sz w:val="20"/>
          <w:szCs w:val="20"/>
        </w:rPr>
        <w:t xml:space="preserve">Procedures to prevent SSI are aimed at: </w:t>
      </w:r>
    </w:p>
    <w:p w14:paraId="7B7A4FCD" w14:textId="77777777" w:rsidR="0008085B" w:rsidRPr="00D91616" w:rsidRDefault="0008085B" w:rsidP="009D6D0B">
      <w:pPr>
        <w:pStyle w:val="ListParagraph"/>
        <w:numPr>
          <w:ilvl w:val="0"/>
          <w:numId w:val="37"/>
        </w:numPr>
        <w:rPr>
          <w:sz w:val="20"/>
          <w:szCs w:val="20"/>
        </w:rPr>
      </w:pPr>
      <w:r w:rsidRPr="00D91616">
        <w:rPr>
          <w:sz w:val="20"/>
          <w:szCs w:val="20"/>
        </w:rPr>
        <w:t xml:space="preserve">Minimising the number of microorganisms introduced into the incision site, for example removing microorganisms that normally colonise the skin of patient, maintaining asepsis and managing air quality. </w:t>
      </w:r>
    </w:p>
    <w:p w14:paraId="1E546682" w14:textId="77777777" w:rsidR="0008085B" w:rsidRPr="00D91616" w:rsidRDefault="0008085B" w:rsidP="009D6D0B">
      <w:pPr>
        <w:pStyle w:val="ListParagraph"/>
        <w:numPr>
          <w:ilvl w:val="0"/>
          <w:numId w:val="37"/>
        </w:numPr>
        <w:rPr>
          <w:sz w:val="20"/>
          <w:szCs w:val="20"/>
        </w:rPr>
      </w:pPr>
      <w:r w:rsidRPr="00D91616">
        <w:rPr>
          <w:sz w:val="20"/>
          <w:szCs w:val="20"/>
        </w:rPr>
        <w:t xml:space="preserve">Enhancing the patients’ defences against infection, for example by minimising tissue damage and maintaining normal body temperature during the procedure. </w:t>
      </w:r>
    </w:p>
    <w:p w14:paraId="26ED4698" w14:textId="77777777" w:rsidR="0008085B" w:rsidRPr="00D91616" w:rsidRDefault="0008085B" w:rsidP="009D6D0B">
      <w:pPr>
        <w:pStyle w:val="ListParagraph"/>
        <w:numPr>
          <w:ilvl w:val="0"/>
          <w:numId w:val="37"/>
        </w:numPr>
        <w:rPr>
          <w:sz w:val="20"/>
          <w:szCs w:val="20"/>
        </w:rPr>
      </w:pPr>
      <w:r w:rsidRPr="00D91616">
        <w:rPr>
          <w:sz w:val="20"/>
          <w:szCs w:val="20"/>
        </w:rPr>
        <w:t xml:space="preserve">Preventing the multiplication of microorganisms at the incision site, for example using prophylactic antibiotics. </w:t>
      </w:r>
    </w:p>
    <w:p w14:paraId="77BA05FD" w14:textId="77777777" w:rsidR="0008085B" w:rsidRPr="00D91616" w:rsidRDefault="0008085B" w:rsidP="009D6D0B">
      <w:pPr>
        <w:pStyle w:val="ListParagraph"/>
        <w:numPr>
          <w:ilvl w:val="0"/>
          <w:numId w:val="37"/>
        </w:numPr>
        <w:rPr>
          <w:sz w:val="20"/>
          <w:szCs w:val="20"/>
        </w:rPr>
      </w:pPr>
      <w:r w:rsidRPr="00D91616">
        <w:rPr>
          <w:sz w:val="20"/>
          <w:szCs w:val="20"/>
        </w:rPr>
        <w:t>Preventing access of microorganisms into the incision site, for example postoperatively by use of a wound dressing</w:t>
      </w:r>
    </w:p>
    <w:p w14:paraId="3684B3C5" w14:textId="77777777" w:rsidR="0008085B" w:rsidRPr="00D91616" w:rsidRDefault="0008085B" w:rsidP="0008085B">
      <w:pPr>
        <w:pStyle w:val="ListParagraph"/>
        <w:ind w:left="720"/>
        <w:rPr>
          <w:sz w:val="20"/>
          <w:szCs w:val="20"/>
        </w:rPr>
      </w:pPr>
    </w:p>
    <w:p w14:paraId="1BF165F5" w14:textId="77777777" w:rsidR="0008085B" w:rsidRPr="00D91616" w:rsidRDefault="0008085B" w:rsidP="0008085B">
      <w:pPr>
        <w:rPr>
          <w:sz w:val="20"/>
          <w:szCs w:val="20"/>
        </w:rPr>
      </w:pPr>
      <w:r w:rsidRPr="00D91616">
        <w:rPr>
          <w:sz w:val="20"/>
          <w:szCs w:val="20"/>
        </w:rPr>
        <w:t>Pathogens that cause SSI may originate from:</w:t>
      </w:r>
    </w:p>
    <w:p w14:paraId="16E1363B" w14:textId="77777777" w:rsidR="0008085B" w:rsidRPr="00D91616" w:rsidRDefault="0008085B" w:rsidP="0008085B">
      <w:pPr>
        <w:rPr>
          <w:sz w:val="20"/>
          <w:szCs w:val="20"/>
        </w:rPr>
      </w:pPr>
      <w:r w:rsidRPr="00D91616">
        <w:rPr>
          <w:sz w:val="20"/>
          <w:szCs w:val="20"/>
        </w:rPr>
        <w:t>• the patient’s own microbial flora present on skin and in the body</w:t>
      </w:r>
    </w:p>
    <w:p w14:paraId="58EA412F" w14:textId="77777777" w:rsidR="0008085B" w:rsidRPr="00D91616" w:rsidRDefault="0008085B" w:rsidP="0008085B">
      <w:pPr>
        <w:rPr>
          <w:sz w:val="20"/>
          <w:szCs w:val="20"/>
        </w:rPr>
      </w:pPr>
      <w:r w:rsidRPr="00D91616">
        <w:rPr>
          <w:sz w:val="20"/>
          <w:szCs w:val="20"/>
        </w:rPr>
        <w:t>• the skin or mucous membranes of operating personnel</w:t>
      </w:r>
    </w:p>
    <w:p w14:paraId="2DD39A6B" w14:textId="77777777" w:rsidR="0008085B" w:rsidRPr="00D91616" w:rsidRDefault="0008085B" w:rsidP="0008085B">
      <w:pPr>
        <w:rPr>
          <w:sz w:val="20"/>
          <w:szCs w:val="20"/>
        </w:rPr>
      </w:pPr>
      <w:r w:rsidRPr="00D91616">
        <w:rPr>
          <w:sz w:val="20"/>
          <w:szCs w:val="20"/>
        </w:rPr>
        <w:t>• the operating room environment</w:t>
      </w:r>
    </w:p>
    <w:p w14:paraId="374F43D8" w14:textId="5C380BFE" w:rsidR="00E75A8E" w:rsidRDefault="0008085B" w:rsidP="00D91616">
      <w:pPr>
        <w:rPr>
          <w:sz w:val="20"/>
          <w:szCs w:val="20"/>
        </w:rPr>
      </w:pPr>
      <w:r w:rsidRPr="00D91616">
        <w:rPr>
          <w:sz w:val="20"/>
          <w:szCs w:val="20"/>
        </w:rPr>
        <w:t>• instruments and equipment used during the procedure</w:t>
      </w:r>
    </w:p>
    <w:p w14:paraId="0BB8E930" w14:textId="77777777" w:rsidR="00D91616" w:rsidRPr="00D91616" w:rsidRDefault="00D91616" w:rsidP="00D91616">
      <w:pPr>
        <w:rPr>
          <w:sz w:val="20"/>
          <w:szCs w:val="20"/>
        </w:rPr>
      </w:pPr>
    </w:p>
    <w:p w14:paraId="6D458033" w14:textId="2094327B" w:rsidR="0008085B" w:rsidRPr="006262B8" w:rsidRDefault="0008085B" w:rsidP="00E75A8E">
      <w:pPr>
        <w:ind w:right="171"/>
        <w:rPr>
          <w:sz w:val="20"/>
          <w:szCs w:val="20"/>
        </w:rPr>
      </w:pPr>
      <w:r w:rsidRPr="006262B8">
        <w:rPr>
          <w:sz w:val="20"/>
          <w:szCs w:val="20"/>
        </w:rPr>
        <w:t xml:space="preserve">Upon completion of the SSI investigation, no singular root cause was identified, however </w:t>
      </w:r>
      <w:proofErr w:type="gramStart"/>
      <w:r w:rsidRPr="006262B8">
        <w:rPr>
          <w:sz w:val="20"/>
          <w:szCs w:val="20"/>
        </w:rPr>
        <w:t>a number of</w:t>
      </w:r>
      <w:proofErr w:type="gramEnd"/>
      <w:r w:rsidRPr="006262B8">
        <w:rPr>
          <w:sz w:val="20"/>
          <w:szCs w:val="20"/>
        </w:rPr>
        <w:t xml:space="preserve"> recommendations were made, including the introduction of a skin decolonisation regime (see below) and a review of the SSI process, to improve the monitoring of SSI and prompt identification of issues. It was agreed that the </w:t>
      </w:r>
      <w:proofErr w:type="spellStart"/>
      <w:r w:rsidRPr="006262B8">
        <w:rPr>
          <w:sz w:val="20"/>
          <w:szCs w:val="20"/>
        </w:rPr>
        <w:t>One</w:t>
      </w:r>
      <w:r w:rsidR="0058054A">
        <w:rPr>
          <w:sz w:val="20"/>
          <w:szCs w:val="20"/>
        </w:rPr>
        <w:t>T</w:t>
      </w:r>
      <w:r w:rsidRPr="006262B8">
        <w:rPr>
          <w:sz w:val="20"/>
          <w:szCs w:val="20"/>
        </w:rPr>
        <w:t>ogether</w:t>
      </w:r>
      <w:proofErr w:type="spellEnd"/>
      <w:r w:rsidRPr="006262B8">
        <w:rPr>
          <w:sz w:val="20"/>
          <w:szCs w:val="20"/>
        </w:rPr>
        <w:t xml:space="preserve"> toolkit provides a structured approach to assessing standards across the patient’s surgical pathway, and it has been agreed that this will be used periodically to provide continuous cycle of assessment and improvement.</w:t>
      </w:r>
    </w:p>
    <w:p w14:paraId="79BA1BD9" w14:textId="0B30C0D1" w:rsidR="00E75A8E" w:rsidRDefault="0008085B" w:rsidP="00E75A8E">
      <w:pPr>
        <w:ind w:right="171"/>
        <w:rPr>
          <w:sz w:val="20"/>
          <w:szCs w:val="20"/>
        </w:rPr>
      </w:pPr>
      <w:r w:rsidRPr="0008085B">
        <w:rPr>
          <w:sz w:val="20"/>
          <w:szCs w:val="20"/>
        </w:rPr>
        <w:t xml:space="preserve">A </w:t>
      </w:r>
      <w:r w:rsidR="00E75A8E" w:rsidRPr="0008085B">
        <w:rPr>
          <w:sz w:val="20"/>
          <w:szCs w:val="20"/>
        </w:rPr>
        <w:t>report was presented to the IPC&amp;C Committee in March detailing findings of the investigation and circulated to medical/surgical teams for wider learning.</w:t>
      </w:r>
      <w:r w:rsidR="00E75A8E" w:rsidRPr="00F23822">
        <w:rPr>
          <w:sz w:val="20"/>
          <w:szCs w:val="20"/>
        </w:rPr>
        <w:t xml:space="preserve"> </w:t>
      </w:r>
    </w:p>
    <w:p w14:paraId="5ED2D797" w14:textId="77777777" w:rsidR="0081525B" w:rsidRDefault="0081525B" w:rsidP="00220AE9">
      <w:pPr>
        <w:tabs>
          <w:tab w:val="left" w:pos="1236"/>
        </w:tabs>
        <w:rPr>
          <w:sz w:val="22"/>
        </w:rPr>
      </w:pPr>
    </w:p>
    <w:p w14:paraId="40C5BB54" w14:textId="6EC0DF11" w:rsidR="0081525B" w:rsidRPr="006262B8" w:rsidRDefault="0081525B" w:rsidP="00220AE9">
      <w:pPr>
        <w:tabs>
          <w:tab w:val="left" w:pos="1236"/>
        </w:tabs>
        <w:rPr>
          <w:sz w:val="22"/>
          <w:u w:val="single"/>
        </w:rPr>
      </w:pPr>
      <w:r w:rsidRPr="006262B8">
        <w:rPr>
          <w:sz w:val="22"/>
          <w:u w:val="single"/>
        </w:rPr>
        <w:t>MSSA decolonisation</w:t>
      </w:r>
    </w:p>
    <w:p w14:paraId="762E9580" w14:textId="7AC34802" w:rsidR="0081525B" w:rsidRPr="006262B8" w:rsidRDefault="0081525B" w:rsidP="00220AE9">
      <w:pPr>
        <w:tabs>
          <w:tab w:val="left" w:pos="1236"/>
        </w:tabs>
        <w:rPr>
          <w:sz w:val="20"/>
          <w:szCs w:val="20"/>
        </w:rPr>
      </w:pPr>
      <w:proofErr w:type="spellStart"/>
      <w:r w:rsidRPr="006262B8">
        <w:rPr>
          <w:sz w:val="20"/>
          <w:szCs w:val="20"/>
        </w:rPr>
        <w:t>Meticilin</w:t>
      </w:r>
      <w:proofErr w:type="spellEnd"/>
      <w:r w:rsidRPr="006262B8">
        <w:rPr>
          <w:sz w:val="20"/>
          <w:szCs w:val="20"/>
        </w:rPr>
        <w:t xml:space="preserve">- </w:t>
      </w:r>
      <w:proofErr w:type="spellStart"/>
      <w:r w:rsidRPr="006262B8">
        <w:rPr>
          <w:sz w:val="20"/>
          <w:szCs w:val="20"/>
        </w:rPr>
        <w:t>Senstive</w:t>
      </w:r>
      <w:proofErr w:type="spellEnd"/>
      <w:r w:rsidRPr="006262B8">
        <w:rPr>
          <w:sz w:val="20"/>
          <w:szCs w:val="20"/>
        </w:rPr>
        <w:t xml:space="preserve"> Staphylococcus Aureus (MSSA) is a </w:t>
      </w:r>
      <w:proofErr w:type="gramStart"/>
      <w:r w:rsidRPr="006262B8">
        <w:rPr>
          <w:sz w:val="20"/>
          <w:szCs w:val="20"/>
        </w:rPr>
        <w:t>bacteria</w:t>
      </w:r>
      <w:proofErr w:type="gramEnd"/>
      <w:r w:rsidRPr="006262B8">
        <w:rPr>
          <w:sz w:val="20"/>
          <w:szCs w:val="20"/>
        </w:rPr>
        <w:t xml:space="preserve"> commonly found living harmlessly on the skin.  Through the investigation of SSI</w:t>
      </w:r>
      <w:r w:rsidR="00C2339D" w:rsidRPr="006262B8">
        <w:rPr>
          <w:sz w:val="20"/>
          <w:szCs w:val="20"/>
        </w:rPr>
        <w:t xml:space="preserve"> during 2021-2022</w:t>
      </w:r>
      <w:r w:rsidRPr="006262B8">
        <w:rPr>
          <w:sz w:val="20"/>
          <w:szCs w:val="20"/>
        </w:rPr>
        <w:t>, we identified MSSA as the most common micro-organism</w:t>
      </w:r>
      <w:r w:rsidR="00CF5BB7" w:rsidRPr="006262B8">
        <w:rPr>
          <w:sz w:val="20"/>
          <w:szCs w:val="20"/>
        </w:rPr>
        <w:t xml:space="preserve"> found in wounds</w:t>
      </w:r>
      <w:r w:rsidRPr="006262B8">
        <w:rPr>
          <w:sz w:val="20"/>
          <w:szCs w:val="20"/>
        </w:rPr>
        <w:t xml:space="preserve">.  In response to this, and to attempt to minimise future surgical site infections, the Trust introduced an MSSA decolonisation regime for all elective patients undergoing hip, </w:t>
      </w:r>
      <w:proofErr w:type="gramStart"/>
      <w:r w:rsidRPr="006262B8">
        <w:rPr>
          <w:sz w:val="20"/>
          <w:szCs w:val="20"/>
        </w:rPr>
        <w:t>knee</w:t>
      </w:r>
      <w:proofErr w:type="gramEnd"/>
      <w:r w:rsidRPr="006262B8">
        <w:rPr>
          <w:sz w:val="20"/>
          <w:szCs w:val="20"/>
        </w:rPr>
        <w:t xml:space="preserve"> and spinal surgery.</w:t>
      </w:r>
      <w:r w:rsidR="00C2339D" w:rsidRPr="006262B8">
        <w:rPr>
          <w:sz w:val="20"/>
          <w:szCs w:val="20"/>
        </w:rPr>
        <w:t xml:space="preserve">  Since 21/11/22, patients receive a decolonisation regime pack with instructions delivered by the Pre-op Assessment Team.    </w:t>
      </w:r>
    </w:p>
    <w:p w14:paraId="42EF6391" w14:textId="77777777" w:rsidR="0081525B" w:rsidRPr="00220AE9" w:rsidRDefault="0081525B" w:rsidP="00220AE9">
      <w:pPr>
        <w:tabs>
          <w:tab w:val="left" w:pos="1236"/>
        </w:tabs>
        <w:rPr>
          <w:sz w:val="22"/>
        </w:rPr>
      </w:pPr>
    </w:p>
    <w:p w14:paraId="0C3E9B7B" w14:textId="77777777" w:rsidR="00220AE9" w:rsidRPr="0008085B" w:rsidRDefault="00220AE9" w:rsidP="00220AE9">
      <w:pPr>
        <w:rPr>
          <w:bCs/>
          <w:sz w:val="22"/>
          <w:u w:val="single"/>
        </w:rPr>
      </w:pPr>
      <w:r w:rsidRPr="0008085B">
        <w:rPr>
          <w:bCs/>
          <w:sz w:val="22"/>
          <w:u w:val="single"/>
        </w:rPr>
        <w:t>Infection Multi-Disciplinary Team (MDT)</w:t>
      </w:r>
    </w:p>
    <w:p w14:paraId="58DF7ECC" w14:textId="031B9427" w:rsidR="00220AE9" w:rsidRPr="0008085B" w:rsidRDefault="00220AE9" w:rsidP="00220AE9">
      <w:pPr>
        <w:rPr>
          <w:sz w:val="20"/>
          <w:szCs w:val="20"/>
        </w:rPr>
      </w:pPr>
      <w:r w:rsidRPr="0008085B">
        <w:rPr>
          <w:sz w:val="20"/>
          <w:szCs w:val="20"/>
        </w:rPr>
        <w:t xml:space="preserve">The MDT </w:t>
      </w:r>
      <w:r w:rsidR="00CF5BB7">
        <w:rPr>
          <w:sz w:val="20"/>
          <w:szCs w:val="20"/>
        </w:rPr>
        <w:t>meet weekly</w:t>
      </w:r>
      <w:r w:rsidRPr="0008085B">
        <w:rPr>
          <w:sz w:val="20"/>
          <w:szCs w:val="20"/>
        </w:rPr>
        <w:t xml:space="preserve"> to discuss infections and make recommendations for treatment.  The Infection MDT is attended by Consultant Surgeons, a Consultant Microbiologist, </w:t>
      </w:r>
      <w:r w:rsidR="00CF5BB7">
        <w:rPr>
          <w:sz w:val="20"/>
          <w:szCs w:val="20"/>
        </w:rPr>
        <w:t>an</w:t>
      </w:r>
      <w:r w:rsidRPr="0008085B">
        <w:rPr>
          <w:sz w:val="20"/>
          <w:szCs w:val="20"/>
        </w:rPr>
        <w:t xml:space="preserve"> Antimicrobial Pharmacist, the Infection Prevention &amp; Control Team, and a Consultant Radiologist.</w:t>
      </w:r>
    </w:p>
    <w:p w14:paraId="11102C08" w14:textId="69302CF8" w:rsidR="00220AE9" w:rsidRPr="002F7739" w:rsidRDefault="002F7739" w:rsidP="00220AE9">
      <w:pPr>
        <w:rPr>
          <w:sz w:val="20"/>
          <w:szCs w:val="20"/>
        </w:rPr>
      </w:pPr>
      <w:r w:rsidRPr="0008085B">
        <w:rPr>
          <w:sz w:val="20"/>
          <w:szCs w:val="20"/>
        </w:rPr>
        <w:t>UKHSA</w:t>
      </w:r>
      <w:r w:rsidR="00220AE9" w:rsidRPr="0008085B">
        <w:rPr>
          <w:sz w:val="20"/>
          <w:szCs w:val="20"/>
        </w:rPr>
        <w:t xml:space="preserve"> Surgical Site Surveillance System requirements are to report hip, </w:t>
      </w:r>
      <w:proofErr w:type="gramStart"/>
      <w:r w:rsidR="00220AE9" w:rsidRPr="0008085B">
        <w:rPr>
          <w:sz w:val="20"/>
          <w:szCs w:val="20"/>
        </w:rPr>
        <w:t>knee</w:t>
      </w:r>
      <w:proofErr w:type="gramEnd"/>
      <w:r w:rsidR="00220AE9" w:rsidRPr="0008085B">
        <w:rPr>
          <w:sz w:val="20"/>
          <w:szCs w:val="20"/>
        </w:rPr>
        <w:t xml:space="preserve"> and spinal surgery</w:t>
      </w:r>
      <w:r w:rsidR="00CF5BB7">
        <w:rPr>
          <w:sz w:val="20"/>
          <w:szCs w:val="20"/>
        </w:rPr>
        <w:t xml:space="preserve">, </w:t>
      </w:r>
      <w:proofErr w:type="spellStart"/>
      <w:r w:rsidR="00CF5BB7">
        <w:rPr>
          <w:sz w:val="20"/>
          <w:szCs w:val="20"/>
        </w:rPr>
        <w:t>howevert</w:t>
      </w:r>
      <w:r w:rsidR="00220AE9" w:rsidRPr="0008085B">
        <w:rPr>
          <w:sz w:val="20"/>
          <w:szCs w:val="20"/>
        </w:rPr>
        <w:t>he</w:t>
      </w:r>
      <w:proofErr w:type="spellEnd"/>
      <w:r w:rsidR="00220AE9" w:rsidRPr="0008085B">
        <w:rPr>
          <w:sz w:val="20"/>
          <w:szCs w:val="20"/>
        </w:rPr>
        <w:t xml:space="preserve"> Infection MDT reviews patients from all orthopaedic specialities,</w:t>
      </w:r>
      <w:r w:rsidR="00CF5BB7">
        <w:rPr>
          <w:sz w:val="20"/>
          <w:szCs w:val="20"/>
        </w:rPr>
        <w:t xml:space="preserve"> </w:t>
      </w:r>
      <w:r w:rsidR="00220AE9" w:rsidRPr="0008085B">
        <w:rPr>
          <w:sz w:val="20"/>
          <w:szCs w:val="20"/>
        </w:rPr>
        <w:t>including upper limb, lower limb, sports &amp; spinal injuries.</w:t>
      </w:r>
    </w:p>
    <w:p w14:paraId="4D1FF207" w14:textId="77777777" w:rsidR="002621CA" w:rsidRDefault="002621CA" w:rsidP="00220AE9">
      <w:pPr>
        <w:rPr>
          <w:sz w:val="22"/>
        </w:rPr>
      </w:pPr>
    </w:p>
    <w:p w14:paraId="3ED8342B" w14:textId="1DC620D4" w:rsidR="00F676A2" w:rsidRPr="0008085B" w:rsidRDefault="00D57159" w:rsidP="00220AE9">
      <w:pPr>
        <w:rPr>
          <w:rFonts w:cs="Arial"/>
          <w:b/>
          <w:sz w:val="22"/>
          <w:u w:val="single"/>
        </w:rPr>
      </w:pPr>
      <w:r w:rsidRPr="0008085B">
        <w:rPr>
          <w:rFonts w:cs="Arial"/>
          <w:noProof/>
          <w:sz w:val="20"/>
          <w:szCs w:val="20"/>
          <w:u w:val="single"/>
        </w:rPr>
        <w:drawing>
          <wp:anchor distT="0" distB="0" distL="114300" distR="114300" simplePos="0" relativeHeight="251920384" behindDoc="1" locked="0" layoutInCell="1" allowOverlap="1" wp14:anchorId="5FAB020B" wp14:editId="54E62621">
            <wp:simplePos x="0" y="0"/>
            <wp:positionH relativeFrom="margin">
              <wp:align>right</wp:align>
            </wp:positionH>
            <wp:positionV relativeFrom="paragraph">
              <wp:posOffset>48895</wp:posOffset>
            </wp:positionV>
            <wp:extent cx="2070735" cy="1657350"/>
            <wp:effectExtent l="0" t="0" r="0" b="0"/>
            <wp:wrapTight wrapText="bothSides">
              <wp:wrapPolygon edited="0">
                <wp:start x="9339" y="248"/>
                <wp:lineTo x="7948" y="745"/>
                <wp:lineTo x="3776" y="3972"/>
                <wp:lineTo x="3776" y="4966"/>
                <wp:lineTo x="2385" y="8690"/>
                <wp:lineTo x="2385" y="12662"/>
                <wp:lineTo x="3776" y="16634"/>
                <wp:lineTo x="3776" y="17628"/>
                <wp:lineTo x="7948" y="20607"/>
                <wp:lineTo x="9339" y="21103"/>
                <wp:lineTo x="12121" y="21103"/>
                <wp:lineTo x="13512" y="20607"/>
                <wp:lineTo x="17685" y="17628"/>
                <wp:lineTo x="17884" y="16634"/>
                <wp:lineTo x="19076" y="12662"/>
                <wp:lineTo x="19076" y="8690"/>
                <wp:lineTo x="17884" y="3724"/>
                <wp:lineTo x="13512" y="993"/>
                <wp:lineTo x="11327" y="248"/>
                <wp:lineTo x="9339" y="24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0735" cy="1657350"/>
                    </a:xfrm>
                    <a:prstGeom prst="rect">
                      <a:avLst/>
                    </a:prstGeom>
                    <a:noFill/>
                  </pic:spPr>
                </pic:pic>
              </a:graphicData>
            </a:graphic>
            <wp14:sizeRelH relativeFrom="page">
              <wp14:pctWidth>0</wp14:pctWidth>
            </wp14:sizeRelH>
            <wp14:sizeRelV relativeFrom="page">
              <wp14:pctHeight>0</wp14:pctHeight>
            </wp14:sizeRelV>
          </wp:anchor>
        </w:drawing>
      </w:r>
      <w:r w:rsidR="00220AE9" w:rsidRPr="0008085B">
        <w:rPr>
          <w:rFonts w:cs="Arial"/>
          <w:b/>
          <w:sz w:val="22"/>
          <w:u w:val="single"/>
        </w:rPr>
        <w:t xml:space="preserve">Outbreaks  </w:t>
      </w:r>
    </w:p>
    <w:p w14:paraId="3AAE6B13" w14:textId="53915C2E" w:rsidR="00F676A2" w:rsidRPr="0008085B" w:rsidRDefault="00514B78" w:rsidP="00220AE9">
      <w:pPr>
        <w:tabs>
          <w:tab w:val="left" w:pos="8060"/>
        </w:tabs>
        <w:rPr>
          <w:rFonts w:cs="Arial"/>
          <w:sz w:val="20"/>
          <w:szCs w:val="20"/>
        </w:rPr>
      </w:pPr>
      <w:r w:rsidRPr="00514B78">
        <w:rPr>
          <w:rFonts w:cs="Arial"/>
          <w:sz w:val="20"/>
          <w:szCs w:val="20"/>
        </w:rPr>
        <w:t xml:space="preserve">An outbreak of infection is described as two or more people with the same disease or </w:t>
      </w:r>
      <w:proofErr w:type="gramStart"/>
      <w:r w:rsidRPr="00514B78">
        <w:rPr>
          <w:rFonts w:cs="Arial"/>
          <w:sz w:val="20"/>
          <w:szCs w:val="20"/>
        </w:rPr>
        <w:t>symptoms</w:t>
      </w:r>
      <w:proofErr w:type="gramEnd"/>
      <w:r w:rsidRPr="00514B78">
        <w:rPr>
          <w:rFonts w:cs="Arial"/>
          <w:sz w:val="20"/>
          <w:szCs w:val="20"/>
        </w:rPr>
        <w:t xml:space="preserve"> or the same organism isolated from a diagnostic sample and are linked through a common exposure, personal characteristics, time or location.  </w:t>
      </w:r>
      <w:r w:rsidR="00220AE9" w:rsidRPr="0008085B">
        <w:rPr>
          <w:rFonts w:cs="Arial"/>
          <w:sz w:val="20"/>
          <w:szCs w:val="20"/>
        </w:rPr>
        <w:t xml:space="preserve">Each outbreak was investigated by </w:t>
      </w:r>
      <w:r>
        <w:rPr>
          <w:rFonts w:cs="Arial"/>
          <w:sz w:val="20"/>
          <w:szCs w:val="20"/>
        </w:rPr>
        <w:t>a multi-disciplinary</w:t>
      </w:r>
      <w:r w:rsidRPr="0008085B">
        <w:rPr>
          <w:rFonts w:cs="Arial"/>
          <w:sz w:val="20"/>
          <w:szCs w:val="20"/>
        </w:rPr>
        <w:t xml:space="preserve"> </w:t>
      </w:r>
      <w:r w:rsidR="00220AE9" w:rsidRPr="0008085B">
        <w:rPr>
          <w:rFonts w:cs="Arial"/>
          <w:sz w:val="20"/>
          <w:szCs w:val="20"/>
        </w:rPr>
        <w:t xml:space="preserve">Outbreak Control Team, that reviewed all available evidence, and reported to </w:t>
      </w:r>
      <w:r w:rsidR="009B4266" w:rsidRPr="0008085B">
        <w:rPr>
          <w:rFonts w:cs="Arial"/>
          <w:sz w:val="20"/>
          <w:szCs w:val="20"/>
        </w:rPr>
        <w:t>UKHSA</w:t>
      </w:r>
      <w:r w:rsidR="00220AE9" w:rsidRPr="0008085B">
        <w:rPr>
          <w:rFonts w:cs="Arial"/>
          <w:sz w:val="20"/>
          <w:szCs w:val="20"/>
        </w:rPr>
        <w:t xml:space="preserve"> and the </w:t>
      </w:r>
      <w:r w:rsidR="00CF5BB7">
        <w:rPr>
          <w:rFonts w:cs="Arial"/>
          <w:sz w:val="20"/>
          <w:szCs w:val="20"/>
        </w:rPr>
        <w:t>CQC</w:t>
      </w:r>
      <w:r w:rsidR="00C6709E" w:rsidRPr="0008085B">
        <w:rPr>
          <w:rFonts w:cs="Arial"/>
          <w:sz w:val="20"/>
          <w:szCs w:val="20"/>
        </w:rPr>
        <w:t>.</w:t>
      </w:r>
      <w:r w:rsidR="00081F26" w:rsidRPr="0008085B">
        <w:rPr>
          <w:rFonts w:cs="Arial"/>
          <w:sz w:val="20"/>
          <w:szCs w:val="20"/>
        </w:rPr>
        <w:t xml:space="preserve">  </w:t>
      </w:r>
    </w:p>
    <w:p w14:paraId="6EDB72FB" w14:textId="7A13ECBC" w:rsidR="00F676A2" w:rsidRPr="0008085B" w:rsidRDefault="00F676A2" w:rsidP="00220AE9">
      <w:pPr>
        <w:tabs>
          <w:tab w:val="left" w:pos="8060"/>
        </w:tabs>
        <w:rPr>
          <w:rFonts w:cs="Arial"/>
          <w:sz w:val="20"/>
          <w:szCs w:val="20"/>
        </w:rPr>
      </w:pPr>
      <w:r w:rsidRPr="0008085B">
        <w:rPr>
          <w:rFonts w:cs="Arial"/>
          <w:sz w:val="20"/>
          <w:szCs w:val="20"/>
        </w:rPr>
        <w:t xml:space="preserve">The Trust managed a total of 15 outbreaks </w:t>
      </w:r>
      <w:r w:rsidR="00ED5A44" w:rsidRPr="0008085B">
        <w:rPr>
          <w:rFonts w:cs="Arial"/>
          <w:sz w:val="20"/>
          <w:szCs w:val="20"/>
        </w:rPr>
        <w:t>from April 22 – March 23:</w:t>
      </w:r>
    </w:p>
    <w:p w14:paraId="135C6DB1" w14:textId="77777777" w:rsidR="00F073F7" w:rsidRPr="0008085B" w:rsidRDefault="00F073F7" w:rsidP="00220AE9">
      <w:pPr>
        <w:tabs>
          <w:tab w:val="left" w:pos="8060"/>
        </w:tabs>
        <w:rPr>
          <w:rFonts w:cs="Arial"/>
          <w:sz w:val="20"/>
          <w:szCs w:val="20"/>
        </w:rPr>
      </w:pPr>
    </w:p>
    <w:p w14:paraId="5AB4C42D" w14:textId="10BC25D3" w:rsidR="00F073F7" w:rsidRPr="0008085B" w:rsidRDefault="00081F26" w:rsidP="00220AE9">
      <w:pPr>
        <w:tabs>
          <w:tab w:val="left" w:pos="8060"/>
        </w:tabs>
        <w:rPr>
          <w:rFonts w:cs="Arial"/>
          <w:sz w:val="20"/>
          <w:szCs w:val="20"/>
        </w:rPr>
      </w:pPr>
      <w:r w:rsidRPr="0008085B">
        <w:rPr>
          <w:rFonts w:cs="Arial"/>
          <w:sz w:val="20"/>
          <w:szCs w:val="20"/>
        </w:rPr>
        <w:t>A summary of outbreaks is tabled below</w:t>
      </w:r>
      <w:r w:rsidR="00F073F7" w:rsidRPr="0008085B">
        <w:rPr>
          <w:rFonts w:cs="Arial"/>
          <w:sz w:val="20"/>
          <w:szCs w:val="20"/>
        </w:rPr>
        <w:t>:</w:t>
      </w:r>
    </w:p>
    <w:p w14:paraId="563F2E27" w14:textId="77777777" w:rsidR="00F073F7" w:rsidRPr="0008085B" w:rsidRDefault="00F073F7" w:rsidP="00220AE9">
      <w:pPr>
        <w:tabs>
          <w:tab w:val="left" w:pos="8060"/>
        </w:tabs>
        <w:rPr>
          <w:rFonts w:cs="Arial"/>
          <w:sz w:val="20"/>
          <w:szCs w:val="20"/>
        </w:rPr>
      </w:pPr>
    </w:p>
    <w:tbl>
      <w:tblPr>
        <w:tblStyle w:val="LightGrid-Accent1"/>
        <w:tblpPr w:leftFromText="180" w:rightFromText="180" w:vertAnchor="text" w:horzAnchor="margin" w:tblpY="232"/>
        <w:tblW w:w="10338" w:type="dxa"/>
        <w:tblLayout w:type="fixed"/>
        <w:tblLook w:val="04A0" w:firstRow="1" w:lastRow="0" w:firstColumn="1" w:lastColumn="0" w:noHBand="0" w:noVBand="1"/>
      </w:tblPr>
      <w:tblGrid>
        <w:gridCol w:w="2825"/>
        <w:gridCol w:w="1134"/>
        <w:gridCol w:w="1701"/>
        <w:gridCol w:w="4678"/>
      </w:tblGrid>
      <w:tr w:rsidR="00F073F7" w:rsidRPr="00F676A2" w14:paraId="713147DE" w14:textId="77777777" w:rsidTr="00D57159">
        <w:trPr>
          <w:cnfStyle w:val="100000000000" w:firstRow="1" w:lastRow="0" w:firstColumn="0" w:lastColumn="0" w:oddVBand="0" w:evenVBand="0" w:oddHBand="0"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2825" w:type="dxa"/>
            <w:shd w:val="clear" w:color="auto" w:fill="002060"/>
            <w:vAlign w:val="center"/>
            <w:hideMark/>
          </w:tcPr>
          <w:p w14:paraId="65845041" w14:textId="77777777" w:rsidR="00F073F7" w:rsidRPr="00ED5A44" w:rsidRDefault="00F073F7" w:rsidP="00D57159">
            <w:pPr>
              <w:spacing w:before="0"/>
              <w:rPr>
                <w:rFonts w:eastAsiaTheme="majorEastAsia" w:cs="Arial"/>
                <w:sz w:val="18"/>
                <w:szCs w:val="18"/>
              </w:rPr>
            </w:pPr>
            <w:r w:rsidRPr="00ED5A44">
              <w:rPr>
                <w:rFonts w:eastAsiaTheme="majorEastAsia" w:cs="Arial"/>
                <w:sz w:val="18"/>
                <w:szCs w:val="18"/>
              </w:rPr>
              <w:t>Dept</w:t>
            </w:r>
          </w:p>
        </w:tc>
        <w:tc>
          <w:tcPr>
            <w:tcW w:w="1134" w:type="dxa"/>
            <w:shd w:val="clear" w:color="auto" w:fill="002060"/>
            <w:vAlign w:val="center"/>
            <w:hideMark/>
          </w:tcPr>
          <w:p w14:paraId="2007CD85" w14:textId="77777777" w:rsidR="00F073F7" w:rsidRPr="00ED5A44" w:rsidRDefault="00F073F7" w:rsidP="00D57159">
            <w:pPr>
              <w:spacing w:before="0"/>
              <w:jc w:val="center"/>
              <w:cnfStyle w:val="100000000000" w:firstRow="1" w:lastRow="0" w:firstColumn="0" w:lastColumn="0" w:oddVBand="0" w:evenVBand="0" w:oddHBand="0" w:evenHBand="0" w:firstRowFirstColumn="0" w:firstRowLastColumn="0" w:lastRowFirstColumn="0" w:lastRowLastColumn="0"/>
              <w:rPr>
                <w:rFonts w:eastAsiaTheme="majorEastAsia" w:cs="Arial"/>
                <w:sz w:val="18"/>
                <w:szCs w:val="18"/>
              </w:rPr>
            </w:pPr>
            <w:r w:rsidRPr="00ED5A44">
              <w:rPr>
                <w:rFonts w:eastAsiaTheme="majorEastAsia" w:cs="Arial"/>
                <w:sz w:val="18"/>
                <w:szCs w:val="18"/>
              </w:rPr>
              <w:t>Month Declared</w:t>
            </w:r>
          </w:p>
        </w:tc>
        <w:tc>
          <w:tcPr>
            <w:tcW w:w="1701" w:type="dxa"/>
            <w:shd w:val="clear" w:color="auto" w:fill="002060"/>
            <w:vAlign w:val="center"/>
          </w:tcPr>
          <w:p w14:paraId="66641D1D" w14:textId="77777777" w:rsidR="00F073F7" w:rsidRPr="00ED5A44" w:rsidRDefault="00F073F7" w:rsidP="00D57159">
            <w:pPr>
              <w:spacing w:before="0"/>
              <w:jc w:val="center"/>
              <w:cnfStyle w:val="100000000000" w:firstRow="1" w:lastRow="0" w:firstColumn="0" w:lastColumn="0" w:oddVBand="0" w:evenVBand="0" w:oddHBand="0" w:evenHBand="0" w:firstRowFirstColumn="0" w:firstRowLastColumn="0" w:lastRowFirstColumn="0" w:lastRowLastColumn="0"/>
              <w:rPr>
                <w:rFonts w:eastAsiaTheme="majorEastAsia" w:cs="Arial"/>
                <w:sz w:val="18"/>
                <w:szCs w:val="18"/>
              </w:rPr>
            </w:pPr>
            <w:r w:rsidRPr="00ED5A44">
              <w:rPr>
                <w:rFonts w:eastAsiaTheme="majorEastAsia" w:cs="Arial"/>
                <w:sz w:val="18"/>
                <w:szCs w:val="18"/>
              </w:rPr>
              <w:t>Outbreak Type</w:t>
            </w:r>
          </w:p>
        </w:tc>
        <w:tc>
          <w:tcPr>
            <w:tcW w:w="4678" w:type="dxa"/>
            <w:shd w:val="clear" w:color="auto" w:fill="002060"/>
            <w:vAlign w:val="center"/>
            <w:hideMark/>
          </w:tcPr>
          <w:p w14:paraId="29BDCB69" w14:textId="77777777" w:rsidR="00F073F7" w:rsidRPr="00ED5A44" w:rsidRDefault="00F073F7" w:rsidP="00D57159">
            <w:pPr>
              <w:spacing w:before="0"/>
              <w:cnfStyle w:val="100000000000" w:firstRow="1" w:lastRow="0" w:firstColumn="0" w:lastColumn="0" w:oddVBand="0" w:evenVBand="0" w:oddHBand="0" w:evenHBand="0" w:firstRowFirstColumn="0" w:firstRowLastColumn="0" w:lastRowFirstColumn="0" w:lastRowLastColumn="0"/>
              <w:rPr>
                <w:rFonts w:eastAsiaTheme="majorEastAsia" w:cs="Arial"/>
                <w:sz w:val="18"/>
                <w:szCs w:val="18"/>
              </w:rPr>
            </w:pPr>
            <w:r w:rsidRPr="00ED5A44">
              <w:rPr>
                <w:rFonts w:eastAsiaTheme="majorEastAsia" w:cs="Arial"/>
                <w:sz w:val="18"/>
                <w:szCs w:val="18"/>
              </w:rPr>
              <w:t>How many involved (staff and pts)</w:t>
            </w:r>
          </w:p>
        </w:tc>
      </w:tr>
      <w:tr w:rsidR="00F073F7" w:rsidRPr="00F676A2" w14:paraId="290E9132" w14:textId="77777777" w:rsidTr="00123C1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825" w:type="dxa"/>
          </w:tcPr>
          <w:p w14:paraId="0A9F0FDB" w14:textId="77777777" w:rsidR="00F073F7" w:rsidRPr="00ED5A44" w:rsidRDefault="00F073F7" w:rsidP="00F073F7">
            <w:pPr>
              <w:spacing w:before="0"/>
              <w:ind w:left="22"/>
              <w:rPr>
                <w:rFonts w:eastAsiaTheme="majorEastAsia" w:cs="Arial"/>
                <w:sz w:val="18"/>
                <w:szCs w:val="18"/>
              </w:rPr>
            </w:pPr>
            <w:r w:rsidRPr="00ED5A44">
              <w:rPr>
                <w:rFonts w:eastAsiaTheme="majorEastAsia" w:cs="Arial"/>
                <w:sz w:val="18"/>
                <w:szCs w:val="18"/>
              </w:rPr>
              <w:t>Gladstone Ward</w:t>
            </w:r>
          </w:p>
        </w:tc>
        <w:tc>
          <w:tcPr>
            <w:tcW w:w="1134" w:type="dxa"/>
          </w:tcPr>
          <w:p w14:paraId="132FEFF2"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ajorEastAsia" w:cs="Arial"/>
                <w:sz w:val="18"/>
                <w:szCs w:val="18"/>
              </w:rPr>
            </w:pPr>
            <w:r w:rsidRPr="00ED5A44">
              <w:rPr>
                <w:rFonts w:eastAsiaTheme="majorEastAsia" w:cs="Arial"/>
                <w:sz w:val="18"/>
                <w:szCs w:val="18"/>
              </w:rPr>
              <w:t>April 22</w:t>
            </w:r>
          </w:p>
        </w:tc>
        <w:tc>
          <w:tcPr>
            <w:tcW w:w="1701" w:type="dxa"/>
          </w:tcPr>
          <w:p w14:paraId="3114D0E9"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ajorEastAsia" w:cs="Arial"/>
                <w:sz w:val="18"/>
                <w:szCs w:val="18"/>
              </w:rPr>
            </w:pPr>
            <w:r w:rsidRPr="00ED5A44">
              <w:rPr>
                <w:rFonts w:eastAsiaTheme="majorEastAsia" w:cs="Arial"/>
                <w:sz w:val="18"/>
                <w:szCs w:val="18"/>
              </w:rPr>
              <w:t>COVID-19</w:t>
            </w:r>
          </w:p>
        </w:tc>
        <w:tc>
          <w:tcPr>
            <w:tcW w:w="4678" w:type="dxa"/>
          </w:tcPr>
          <w:p w14:paraId="069F44C1"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ajorEastAsia" w:cs="Arial"/>
                <w:sz w:val="18"/>
                <w:szCs w:val="18"/>
              </w:rPr>
            </w:pPr>
            <w:r w:rsidRPr="00ED5A44">
              <w:rPr>
                <w:rFonts w:eastAsiaTheme="majorEastAsia" w:cs="Arial"/>
                <w:sz w:val="18"/>
                <w:szCs w:val="18"/>
              </w:rPr>
              <w:t>2 Patients</w:t>
            </w:r>
          </w:p>
          <w:p w14:paraId="271D45E1"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ajorEastAsia" w:cs="Arial"/>
                <w:sz w:val="18"/>
                <w:szCs w:val="18"/>
              </w:rPr>
            </w:pPr>
            <w:r w:rsidRPr="00ED5A44">
              <w:rPr>
                <w:rFonts w:eastAsiaTheme="majorEastAsia" w:cs="Arial"/>
                <w:sz w:val="18"/>
                <w:szCs w:val="18"/>
              </w:rPr>
              <w:t>2 Staff</w:t>
            </w:r>
          </w:p>
        </w:tc>
      </w:tr>
      <w:tr w:rsidR="00F073F7" w:rsidRPr="00F676A2" w14:paraId="341A7963" w14:textId="77777777" w:rsidTr="00123C13">
        <w:trPr>
          <w:cnfStyle w:val="000000010000" w:firstRow="0" w:lastRow="0" w:firstColumn="0" w:lastColumn="0" w:oddVBand="0" w:evenVBand="0" w:oddHBand="0" w:evenHBand="1"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825" w:type="dxa"/>
            <w:hideMark/>
          </w:tcPr>
          <w:p w14:paraId="2EE4F771" w14:textId="77777777" w:rsidR="00F073F7" w:rsidRPr="00ED5A44" w:rsidRDefault="00F073F7" w:rsidP="00F073F7">
            <w:pPr>
              <w:spacing w:before="0"/>
              <w:rPr>
                <w:rFonts w:eastAsiaTheme="majorEastAsia" w:cs="Arial"/>
                <w:sz w:val="18"/>
                <w:szCs w:val="18"/>
              </w:rPr>
            </w:pPr>
            <w:r w:rsidRPr="00ED5A44">
              <w:rPr>
                <w:rFonts w:eastAsiaTheme="majorEastAsia" w:cs="Arial"/>
                <w:sz w:val="18"/>
                <w:szCs w:val="18"/>
              </w:rPr>
              <w:t>Sheldon Ward</w:t>
            </w:r>
          </w:p>
        </w:tc>
        <w:tc>
          <w:tcPr>
            <w:tcW w:w="1134" w:type="dxa"/>
            <w:hideMark/>
          </w:tcPr>
          <w:p w14:paraId="20F58072" w14:textId="77777777" w:rsidR="00F073F7" w:rsidRPr="00ED5A44" w:rsidRDefault="00F073F7"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sidRPr="00ED5A44">
              <w:rPr>
                <w:rFonts w:eastAsiaTheme="minorHAnsi" w:cs="Arial"/>
                <w:sz w:val="18"/>
                <w:szCs w:val="18"/>
              </w:rPr>
              <w:t>June 22</w:t>
            </w:r>
          </w:p>
        </w:tc>
        <w:tc>
          <w:tcPr>
            <w:tcW w:w="1701" w:type="dxa"/>
          </w:tcPr>
          <w:p w14:paraId="054D5974" w14:textId="77777777" w:rsidR="00F073F7" w:rsidRPr="00ED5A44" w:rsidRDefault="00F073F7"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sidRPr="00ED5A44">
              <w:rPr>
                <w:rFonts w:eastAsiaTheme="minorHAnsi" w:cs="Arial"/>
                <w:sz w:val="18"/>
                <w:szCs w:val="18"/>
              </w:rPr>
              <w:t>COVID-19</w:t>
            </w:r>
          </w:p>
        </w:tc>
        <w:tc>
          <w:tcPr>
            <w:tcW w:w="4678" w:type="dxa"/>
            <w:hideMark/>
          </w:tcPr>
          <w:p w14:paraId="036D67EC" w14:textId="77777777" w:rsidR="00F073F7" w:rsidRPr="00ED5A44" w:rsidRDefault="00F073F7"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sidRPr="00ED5A44">
              <w:rPr>
                <w:rFonts w:eastAsiaTheme="minorHAnsi" w:cs="Arial"/>
                <w:sz w:val="18"/>
                <w:szCs w:val="18"/>
              </w:rPr>
              <w:t xml:space="preserve">1 Staff </w:t>
            </w:r>
          </w:p>
          <w:p w14:paraId="173885BB" w14:textId="77777777" w:rsidR="00F073F7" w:rsidRPr="00ED5A44" w:rsidRDefault="00F073F7"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sidRPr="00ED5A44">
              <w:rPr>
                <w:rFonts w:eastAsiaTheme="minorHAnsi" w:cs="Arial"/>
                <w:sz w:val="18"/>
                <w:szCs w:val="18"/>
              </w:rPr>
              <w:t xml:space="preserve">2 Patients </w:t>
            </w:r>
          </w:p>
          <w:p w14:paraId="6E6F04DD" w14:textId="77777777" w:rsidR="00F073F7" w:rsidRPr="00ED5A44" w:rsidRDefault="00F073F7"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p>
        </w:tc>
      </w:tr>
      <w:tr w:rsidR="00F073F7" w:rsidRPr="00F676A2" w14:paraId="0A3AA4DB" w14:textId="77777777" w:rsidTr="00123C1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825" w:type="dxa"/>
            <w:hideMark/>
          </w:tcPr>
          <w:p w14:paraId="76AFA267" w14:textId="77777777" w:rsidR="00F073F7" w:rsidRPr="00ED5A44" w:rsidRDefault="00F073F7" w:rsidP="00F073F7">
            <w:pPr>
              <w:spacing w:before="0"/>
              <w:rPr>
                <w:rFonts w:eastAsiaTheme="majorEastAsia" w:cs="Arial"/>
                <w:sz w:val="18"/>
                <w:szCs w:val="18"/>
              </w:rPr>
            </w:pPr>
            <w:r w:rsidRPr="00ED5A44">
              <w:rPr>
                <w:rFonts w:eastAsiaTheme="majorEastAsia" w:cs="Arial"/>
                <w:sz w:val="18"/>
                <w:szCs w:val="18"/>
              </w:rPr>
              <w:t xml:space="preserve">Estates </w:t>
            </w:r>
            <w:proofErr w:type="spellStart"/>
            <w:r w:rsidRPr="00ED5A44">
              <w:rPr>
                <w:rFonts w:eastAsiaTheme="majorEastAsia" w:cs="Arial"/>
                <w:sz w:val="18"/>
                <w:szCs w:val="18"/>
              </w:rPr>
              <w:t>Dpt</w:t>
            </w:r>
            <w:proofErr w:type="spellEnd"/>
          </w:p>
        </w:tc>
        <w:tc>
          <w:tcPr>
            <w:tcW w:w="1134" w:type="dxa"/>
            <w:hideMark/>
          </w:tcPr>
          <w:p w14:paraId="4AF648A5"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June 22</w:t>
            </w:r>
          </w:p>
        </w:tc>
        <w:tc>
          <w:tcPr>
            <w:tcW w:w="1701" w:type="dxa"/>
          </w:tcPr>
          <w:p w14:paraId="654DCC43"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COVID-19</w:t>
            </w:r>
          </w:p>
        </w:tc>
        <w:tc>
          <w:tcPr>
            <w:tcW w:w="4678" w:type="dxa"/>
            <w:hideMark/>
          </w:tcPr>
          <w:p w14:paraId="74A21CE0" w14:textId="2897D7C1"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 xml:space="preserve">4 Staff </w:t>
            </w:r>
          </w:p>
        </w:tc>
      </w:tr>
      <w:tr w:rsidR="00F073F7" w:rsidRPr="00F676A2" w14:paraId="73225BB5" w14:textId="77777777" w:rsidTr="00123C13">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825" w:type="dxa"/>
            <w:hideMark/>
          </w:tcPr>
          <w:p w14:paraId="06D31332" w14:textId="77777777" w:rsidR="00F073F7" w:rsidRPr="00ED5A44" w:rsidRDefault="00F073F7" w:rsidP="00F073F7">
            <w:pPr>
              <w:spacing w:before="0"/>
              <w:rPr>
                <w:rFonts w:eastAsiaTheme="majorEastAsia" w:cs="Arial"/>
                <w:sz w:val="18"/>
                <w:szCs w:val="18"/>
              </w:rPr>
            </w:pPr>
            <w:r w:rsidRPr="00ED5A44">
              <w:rPr>
                <w:rFonts w:eastAsiaTheme="majorEastAsia" w:cs="Arial"/>
                <w:sz w:val="18"/>
                <w:szCs w:val="18"/>
              </w:rPr>
              <w:t>Kenyon Ward</w:t>
            </w:r>
          </w:p>
        </w:tc>
        <w:tc>
          <w:tcPr>
            <w:tcW w:w="1134" w:type="dxa"/>
            <w:hideMark/>
          </w:tcPr>
          <w:p w14:paraId="6A940A07" w14:textId="77777777" w:rsidR="00F073F7" w:rsidRPr="00ED5A44" w:rsidRDefault="00F073F7"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sidRPr="00ED5A44">
              <w:rPr>
                <w:rFonts w:eastAsiaTheme="minorHAnsi" w:cs="Arial"/>
                <w:sz w:val="18"/>
                <w:szCs w:val="18"/>
              </w:rPr>
              <w:t>July 22</w:t>
            </w:r>
          </w:p>
        </w:tc>
        <w:tc>
          <w:tcPr>
            <w:tcW w:w="1701" w:type="dxa"/>
          </w:tcPr>
          <w:p w14:paraId="4C519678" w14:textId="77777777" w:rsidR="00F073F7" w:rsidRPr="00ED5A44" w:rsidRDefault="00F073F7"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sidRPr="00ED5A44">
              <w:rPr>
                <w:rFonts w:eastAsiaTheme="minorHAnsi" w:cs="Arial"/>
                <w:sz w:val="18"/>
                <w:szCs w:val="18"/>
              </w:rPr>
              <w:t>COVID-19</w:t>
            </w:r>
          </w:p>
        </w:tc>
        <w:tc>
          <w:tcPr>
            <w:tcW w:w="4678" w:type="dxa"/>
            <w:hideMark/>
          </w:tcPr>
          <w:p w14:paraId="710650F5" w14:textId="77777777" w:rsidR="00F073F7" w:rsidRPr="00ED5A44" w:rsidRDefault="00F073F7"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sidRPr="00ED5A44">
              <w:rPr>
                <w:rFonts w:eastAsiaTheme="minorHAnsi" w:cs="Arial"/>
                <w:sz w:val="18"/>
                <w:szCs w:val="18"/>
              </w:rPr>
              <w:t xml:space="preserve">2 Staff </w:t>
            </w:r>
          </w:p>
          <w:p w14:paraId="1A5CBF44" w14:textId="77777777" w:rsidR="00F073F7" w:rsidRPr="00ED5A44" w:rsidRDefault="00F073F7"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sidRPr="00ED5A44">
              <w:rPr>
                <w:rFonts w:eastAsiaTheme="minorHAnsi" w:cs="Arial"/>
                <w:sz w:val="18"/>
                <w:szCs w:val="18"/>
              </w:rPr>
              <w:t xml:space="preserve">4 Patients  </w:t>
            </w:r>
          </w:p>
        </w:tc>
      </w:tr>
      <w:tr w:rsidR="00F073F7" w:rsidRPr="00F676A2" w14:paraId="2D153EF5" w14:textId="77777777" w:rsidTr="00123C1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25" w:type="dxa"/>
          </w:tcPr>
          <w:p w14:paraId="08251DF4" w14:textId="77777777" w:rsidR="00F073F7" w:rsidRPr="00ED5A44" w:rsidRDefault="00F073F7" w:rsidP="00F073F7">
            <w:pPr>
              <w:spacing w:before="0"/>
              <w:rPr>
                <w:rFonts w:eastAsiaTheme="majorEastAsia" w:cs="Arial"/>
                <w:sz w:val="18"/>
                <w:szCs w:val="18"/>
              </w:rPr>
            </w:pPr>
            <w:r w:rsidRPr="00ED5A44">
              <w:rPr>
                <w:rFonts w:eastAsiaTheme="majorEastAsia" w:cs="Arial"/>
                <w:sz w:val="18"/>
                <w:szCs w:val="18"/>
              </w:rPr>
              <w:t>Powys Ward</w:t>
            </w:r>
          </w:p>
        </w:tc>
        <w:tc>
          <w:tcPr>
            <w:tcW w:w="1134" w:type="dxa"/>
            <w:hideMark/>
          </w:tcPr>
          <w:p w14:paraId="12FABC09"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July 22</w:t>
            </w:r>
          </w:p>
        </w:tc>
        <w:tc>
          <w:tcPr>
            <w:tcW w:w="1701" w:type="dxa"/>
          </w:tcPr>
          <w:p w14:paraId="380C670F"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COVID-19</w:t>
            </w:r>
          </w:p>
        </w:tc>
        <w:tc>
          <w:tcPr>
            <w:tcW w:w="4678" w:type="dxa"/>
            <w:hideMark/>
          </w:tcPr>
          <w:p w14:paraId="4EDA705B" w14:textId="11F1187F"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3 Staff</w:t>
            </w:r>
          </w:p>
        </w:tc>
      </w:tr>
      <w:tr w:rsidR="00F073F7" w:rsidRPr="00F676A2" w14:paraId="39886A63" w14:textId="77777777" w:rsidTr="00123C13">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825" w:type="dxa"/>
          </w:tcPr>
          <w:p w14:paraId="231D0610" w14:textId="77777777" w:rsidR="00F073F7" w:rsidRPr="00ED5A44" w:rsidRDefault="00F073F7" w:rsidP="00F073F7">
            <w:pPr>
              <w:spacing w:before="0"/>
              <w:rPr>
                <w:rFonts w:eastAsiaTheme="majorEastAsia" w:cs="Arial"/>
                <w:sz w:val="18"/>
                <w:szCs w:val="18"/>
              </w:rPr>
            </w:pPr>
            <w:r w:rsidRPr="00ED5A44">
              <w:rPr>
                <w:rFonts w:eastAsiaTheme="majorEastAsia" w:cs="Arial"/>
                <w:sz w:val="18"/>
                <w:szCs w:val="18"/>
              </w:rPr>
              <w:t>Gladstone Ward</w:t>
            </w:r>
          </w:p>
        </w:tc>
        <w:tc>
          <w:tcPr>
            <w:tcW w:w="1134" w:type="dxa"/>
          </w:tcPr>
          <w:p w14:paraId="2B7E4B1C" w14:textId="77777777" w:rsidR="00F073F7" w:rsidRPr="00ED5A44" w:rsidRDefault="00F073F7"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sidRPr="00ED5A44">
              <w:rPr>
                <w:rFonts w:eastAsiaTheme="minorHAnsi" w:cs="Arial"/>
                <w:sz w:val="18"/>
                <w:szCs w:val="18"/>
              </w:rPr>
              <w:t>July 22</w:t>
            </w:r>
          </w:p>
        </w:tc>
        <w:tc>
          <w:tcPr>
            <w:tcW w:w="1701" w:type="dxa"/>
          </w:tcPr>
          <w:p w14:paraId="27144CF6" w14:textId="77777777" w:rsidR="00F073F7" w:rsidRPr="00ED5A44" w:rsidRDefault="00F073F7"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sidRPr="00ED5A44">
              <w:rPr>
                <w:rFonts w:eastAsiaTheme="minorHAnsi" w:cs="Arial"/>
                <w:sz w:val="18"/>
                <w:szCs w:val="18"/>
              </w:rPr>
              <w:t xml:space="preserve">MRSA </w:t>
            </w:r>
          </w:p>
        </w:tc>
        <w:tc>
          <w:tcPr>
            <w:tcW w:w="4678" w:type="dxa"/>
          </w:tcPr>
          <w:p w14:paraId="50D94066" w14:textId="77777777" w:rsidR="00F073F7" w:rsidRPr="00ED5A44" w:rsidRDefault="00F073F7"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sidRPr="00ED5A44">
              <w:rPr>
                <w:rFonts w:eastAsiaTheme="minorHAnsi" w:cs="Arial"/>
                <w:sz w:val="18"/>
                <w:szCs w:val="18"/>
              </w:rPr>
              <w:t xml:space="preserve">5 Patients </w:t>
            </w:r>
          </w:p>
        </w:tc>
      </w:tr>
      <w:tr w:rsidR="00F073F7" w:rsidRPr="00F676A2" w14:paraId="6DD7D1A6" w14:textId="77777777" w:rsidTr="00123C1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825" w:type="dxa"/>
          </w:tcPr>
          <w:p w14:paraId="41662FEE" w14:textId="77777777" w:rsidR="00F073F7" w:rsidRPr="00ED5A44" w:rsidRDefault="00F073F7" w:rsidP="00F073F7">
            <w:pPr>
              <w:spacing w:before="0"/>
              <w:rPr>
                <w:rFonts w:eastAsiaTheme="majorEastAsia" w:cs="Arial"/>
                <w:sz w:val="18"/>
                <w:szCs w:val="18"/>
              </w:rPr>
            </w:pPr>
            <w:proofErr w:type="spellStart"/>
            <w:r w:rsidRPr="00ED5A44">
              <w:rPr>
                <w:rFonts w:eastAsiaTheme="majorEastAsia" w:cs="Arial"/>
                <w:sz w:val="18"/>
                <w:szCs w:val="18"/>
              </w:rPr>
              <w:t>Admisisons</w:t>
            </w:r>
            <w:proofErr w:type="spellEnd"/>
          </w:p>
        </w:tc>
        <w:tc>
          <w:tcPr>
            <w:tcW w:w="1134" w:type="dxa"/>
          </w:tcPr>
          <w:p w14:paraId="0849A0BF"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July 22</w:t>
            </w:r>
          </w:p>
        </w:tc>
        <w:tc>
          <w:tcPr>
            <w:tcW w:w="1701" w:type="dxa"/>
          </w:tcPr>
          <w:p w14:paraId="0BA8665A"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COVID-19</w:t>
            </w:r>
          </w:p>
        </w:tc>
        <w:tc>
          <w:tcPr>
            <w:tcW w:w="4678" w:type="dxa"/>
          </w:tcPr>
          <w:p w14:paraId="566B4F8E" w14:textId="0C876B10"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 xml:space="preserve">2 Staff </w:t>
            </w:r>
          </w:p>
        </w:tc>
      </w:tr>
      <w:tr w:rsidR="00F073F7" w:rsidRPr="00F676A2" w14:paraId="29C64E95" w14:textId="77777777" w:rsidTr="00123C13">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825" w:type="dxa"/>
          </w:tcPr>
          <w:p w14:paraId="0B92D00F" w14:textId="77777777" w:rsidR="00F073F7" w:rsidRPr="00ED5A44" w:rsidRDefault="00F073F7" w:rsidP="00F073F7">
            <w:pPr>
              <w:spacing w:before="0"/>
              <w:rPr>
                <w:rFonts w:eastAsiaTheme="majorEastAsia" w:cs="Arial"/>
                <w:sz w:val="18"/>
                <w:szCs w:val="18"/>
              </w:rPr>
            </w:pPr>
            <w:r w:rsidRPr="00ED5A44">
              <w:rPr>
                <w:rFonts w:eastAsiaTheme="majorEastAsia" w:cs="Arial"/>
                <w:sz w:val="18"/>
                <w:szCs w:val="18"/>
              </w:rPr>
              <w:t>Theatres</w:t>
            </w:r>
          </w:p>
        </w:tc>
        <w:tc>
          <w:tcPr>
            <w:tcW w:w="1134" w:type="dxa"/>
          </w:tcPr>
          <w:p w14:paraId="1A448194" w14:textId="77777777" w:rsidR="00F073F7" w:rsidRPr="00ED5A44" w:rsidRDefault="00F073F7"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sidRPr="00ED5A44">
              <w:rPr>
                <w:rFonts w:eastAsiaTheme="minorHAnsi" w:cs="Arial"/>
                <w:sz w:val="18"/>
                <w:szCs w:val="18"/>
              </w:rPr>
              <w:t>July 22</w:t>
            </w:r>
          </w:p>
        </w:tc>
        <w:tc>
          <w:tcPr>
            <w:tcW w:w="1701" w:type="dxa"/>
          </w:tcPr>
          <w:p w14:paraId="512BD219" w14:textId="77777777" w:rsidR="00F073F7" w:rsidRPr="00ED5A44" w:rsidRDefault="00F073F7"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sidRPr="00ED5A44">
              <w:rPr>
                <w:rFonts w:eastAsiaTheme="minorHAnsi" w:cs="Arial"/>
                <w:sz w:val="18"/>
                <w:szCs w:val="18"/>
              </w:rPr>
              <w:t>COVID-19</w:t>
            </w:r>
          </w:p>
        </w:tc>
        <w:tc>
          <w:tcPr>
            <w:tcW w:w="4678" w:type="dxa"/>
          </w:tcPr>
          <w:p w14:paraId="1927DFED" w14:textId="4709816C" w:rsidR="00F073F7" w:rsidRPr="00ED5A44" w:rsidRDefault="00F073F7"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sidRPr="00ED5A44">
              <w:rPr>
                <w:rFonts w:eastAsiaTheme="minorHAnsi" w:cs="Arial"/>
                <w:sz w:val="18"/>
                <w:szCs w:val="18"/>
              </w:rPr>
              <w:t xml:space="preserve">2 Staff </w:t>
            </w:r>
          </w:p>
        </w:tc>
      </w:tr>
      <w:tr w:rsidR="00F073F7" w:rsidRPr="00F676A2" w14:paraId="40C999D7" w14:textId="77777777" w:rsidTr="00123C13">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825" w:type="dxa"/>
          </w:tcPr>
          <w:p w14:paraId="37C1688C" w14:textId="77777777" w:rsidR="00F073F7" w:rsidRPr="00ED5A44" w:rsidRDefault="00F073F7" w:rsidP="00F073F7">
            <w:pPr>
              <w:spacing w:before="0"/>
              <w:ind w:left="-404" w:firstLine="404"/>
              <w:rPr>
                <w:rFonts w:eastAsiaTheme="majorEastAsia" w:cs="Arial"/>
                <w:sz w:val="18"/>
                <w:szCs w:val="18"/>
              </w:rPr>
            </w:pPr>
            <w:r w:rsidRPr="00ED5A44">
              <w:rPr>
                <w:rFonts w:eastAsiaTheme="majorEastAsia" w:cs="Arial"/>
                <w:sz w:val="18"/>
                <w:szCs w:val="18"/>
              </w:rPr>
              <w:t xml:space="preserve">Clwyd Ward </w:t>
            </w:r>
          </w:p>
        </w:tc>
        <w:tc>
          <w:tcPr>
            <w:tcW w:w="1134" w:type="dxa"/>
          </w:tcPr>
          <w:p w14:paraId="11D4821A"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July 22</w:t>
            </w:r>
          </w:p>
        </w:tc>
        <w:tc>
          <w:tcPr>
            <w:tcW w:w="1701" w:type="dxa"/>
          </w:tcPr>
          <w:p w14:paraId="208FDE9D"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 xml:space="preserve">COVID-19 </w:t>
            </w:r>
          </w:p>
        </w:tc>
        <w:tc>
          <w:tcPr>
            <w:tcW w:w="4678" w:type="dxa"/>
          </w:tcPr>
          <w:p w14:paraId="4A5BE53B"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1 Staff</w:t>
            </w:r>
          </w:p>
          <w:p w14:paraId="4275EB1D"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 xml:space="preserve">3 Patients </w:t>
            </w:r>
          </w:p>
        </w:tc>
      </w:tr>
      <w:tr w:rsidR="00F073F7" w:rsidRPr="00F676A2" w14:paraId="20A90C14" w14:textId="77777777" w:rsidTr="00123C1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825" w:type="dxa"/>
          </w:tcPr>
          <w:p w14:paraId="111FB2F0" w14:textId="77777777" w:rsidR="00F073F7" w:rsidRPr="00ED5A44" w:rsidRDefault="00F073F7" w:rsidP="00F073F7">
            <w:pPr>
              <w:spacing w:before="0"/>
              <w:rPr>
                <w:rFonts w:eastAsiaTheme="majorEastAsia" w:cs="Arial"/>
                <w:sz w:val="18"/>
                <w:szCs w:val="18"/>
              </w:rPr>
            </w:pPr>
            <w:r w:rsidRPr="00ED5A44">
              <w:rPr>
                <w:rFonts w:eastAsiaTheme="majorEastAsia" w:cs="Arial"/>
                <w:sz w:val="18"/>
                <w:szCs w:val="18"/>
              </w:rPr>
              <w:t>Gladstone Ward</w:t>
            </w:r>
          </w:p>
        </w:tc>
        <w:tc>
          <w:tcPr>
            <w:tcW w:w="1134" w:type="dxa"/>
          </w:tcPr>
          <w:p w14:paraId="08204EE6" w14:textId="77777777" w:rsidR="00F073F7" w:rsidRPr="00ED5A44" w:rsidRDefault="00F073F7"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sidRPr="00ED5A44">
              <w:rPr>
                <w:rFonts w:eastAsiaTheme="minorHAnsi" w:cs="Arial"/>
                <w:sz w:val="18"/>
                <w:szCs w:val="18"/>
              </w:rPr>
              <w:t>August 22</w:t>
            </w:r>
          </w:p>
        </w:tc>
        <w:tc>
          <w:tcPr>
            <w:tcW w:w="1701" w:type="dxa"/>
          </w:tcPr>
          <w:p w14:paraId="5A7F7963" w14:textId="77777777" w:rsidR="00F073F7" w:rsidRPr="00ED5A44" w:rsidRDefault="00F073F7"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sidRPr="00ED5A44">
              <w:rPr>
                <w:rFonts w:eastAsiaTheme="minorHAnsi" w:cs="Arial"/>
                <w:sz w:val="18"/>
                <w:szCs w:val="18"/>
              </w:rPr>
              <w:t>COVID-19</w:t>
            </w:r>
          </w:p>
        </w:tc>
        <w:tc>
          <w:tcPr>
            <w:tcW w:w="4678" w:type="dxa"/>
          </w:tcPr>
          <w:p w14:paraId="6760AEC4" w14:textId="77777777" w:rsidR="00F073F7" w:rsidRPr="00ED5A44" w:rsidRDefault="00F073F7"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sidRPr="00ED5A44">
              <w:rPr>
                <w:rFonts w:eastAsiaTheme="minorHAnsi" w:cs="Arial"/>
                <w:sz w:val="18"/>
                <w:szCs w:val="18"/>
              </w:rPr>
              <w:t xml:space="preserve">1 Staff </w:t>
            </w:r>
          </w:p>
          <w:p w14:paraId="031D9350" w14:textId="77777777" w:rsidR="00F073F7" w:rsidRPr="00ED5A44" w:rsidRDefault="00F073F7"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sidRPr="00ED5A44">
              <w:rPr>
                <w:rFonts w:eastAsiaTheme="minorHAnsi" w:cs="Arial"/>
                <w:sz w:val="18"/>
                <w:szCs w:val="18"/>
              </w:rPr>
              <w:t xml:space="preserve">2 Patients </w:t>
            </w:r>
          </w:p>
        </w:tc>
      </w:tr>
      <w:tr w:rsidR="00F073F7" w:rsidRPr="00F676A2" w14:paraId="55A6C33E" w14:textId="77777777" w:rsidTr="00D57159">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825" w:type="dxa"/>
          </w:tcPr>
          <w:p w14:paraId="10410E99" w14:textId="77777777" w:rsidR="00F073F7" w:rsidRPr="00ED5A44" w:rsidRDefault="00F073F7" w:rsidP="00F073F7">
            <w:pPr>
              <w:spacing w:before="0"/>
              <w:rPr>
                <w:rFonts w:eastAsiaTheme="majorEastAsia" w:cs="Arial"/>
                <w:sz w:val="18"/>
                <w:szCs w:val="18"/>
              </w:rPr>
            </w:pPr>
            <w:r w:rsidRPr="00ED5A44">
              <w:rPr>
                <w:rFonts w:eastAsiaTheme="majorEastAsia" w:cs="Arial"/>
                <w:sz w:val="18"/>
                <w:szCs w:val="18"/>
              </w:rPr>
              <w:t>Sheldon Ward</w:t>
            </w:r>
          </w:p>
        </w:tc>
        <w:tc>
          <w:tcPr>
            <w:tcW w:w="1134" w:type="dxa"/>
          </w:tcPr>
          <w:p w14:paraId="2AD9B7F5"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August 22</w:t>
            </w:r>
          </w:p>
        </w:tc>
        <w:tc>
          <w:tcPr>
            <w:tcW w:w="1701" w:type="dxa"/>
          </w:tcPr>
          <w:p w14:paraId="7D730A91"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COVID-19</w:t>
            </w:r>
          </w:p>
        </w:tc>
        <w:tc>
          <w:tcPr>
            <w:tcW w:w="4678" w:type="dxa"/>
          </w:tcPr>
          <w:p w14:paraId="41695157"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 xml:space="preserve">5 Staff </w:t>
            </w:r>
          </w:p>
          <w:p w14:paraId="00624968"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 xml:space="preserve">5 Patients </w:t>
            </w:r>
          </w:p>
        </w:tc>
      </w:tr>
      <w:tr w:rsidR="00F073F7" w:rsidRPr="00F676A2" w14:paraId="5E2DEF92" w14:textId="77777777" w:rsidTr="00123C13">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825" w:type="dxa"/>
          </w:tcPr>
          <w:p w14:paraId="799CFEA8" w14:textId="77777777" w:rsidR="00F073F7" w:rsidRPr="00ED5A44" w:rsidRDefault="00F073F7" w:rsidP="00F073F7">
            <w:pPr>
              <w:spacing w:before="0"/>
              <w:rPr>
                <w:rFonts w:eastAsiaTheme="majorEastAsia" w:cs="Arial"/>
                <w:sz w:val="18"/>
                <w:szCs w:val="18"/>
              </w:rPr>
            </w:pPr>
            <w:r w:rsidRPr="00ED5A44">
              <w:rPr>
                <w:rFonts w:eastAsiaTheme="majorEastAsia" w:cs="Arial"/>
                <w:sz w:val="18"/>
                <w:szCs w:val="18"/>
              </w:rPr>
              <w:t>Kenyon Ward</w:t>
            </w:r>
          </w:p>
        </w:tc>
        <w:tc>
          <w:tcPr>
            <w:tcW w:w="1134" w:type="dxa"/>
          </w:tcPr>
          <w:p w14:paraId="16E27928" w14:textId="77777777" w:rsidR="00F073F7" w:rsidRPr="00ED5A44" w:rsidRDefault="00F073F7"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sidRPr="00ED5A44">
              <w:rPr>
                <w:rFonts w:eastAsiaTheme="minorHAnsi" w:cs="Arial"/>
                <w:sz w:val="18"/>
                <w:szCs w:val="18"/>
              </w:rPr>
              <w:t>November 22</w:t>
            </w:r>
          </w:p>
        </w:tc>
        <w:tc>
          <w:tcPr>
            <w:tcW w:w="1701" w:type="dxa"/>
          </w:tcPr>
          <w:p w14:paraId="094EAC68" w14:textId="77777777" w:rsidR="00F073F7" w:rsidRPr="00ED5A44" w:rsidRDefault="00F073F7"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sidRPr="00ED5A44">
              <w:rPr>
                <w:rFonts w:eastAsiaTheme="minorHAnsi" w:cs="Arial"/>
                <w:sz w:val="18"/>
                <w:szCs w:val="18"/>
              </w:rPr>
              <w:t>COVID-19</w:t>
            </w:r>
          </w:p>
        </w:tc>
        <w:tc>
          <w:tcPr>
            <w:tcW w:w="4678" w:type="dxa"/>
          </w:tcPr>
          <w:p w14:paraId="2A38C017" w14:textId="77777777" w:rsidR="00F073F7" w:rsidRPr="00ED5A44" w:rsidRDefault="00F073F7"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sidRPr="00ED5A44">
              <w:rPr>
                <w:rFonts w:eastAsiaTheme="minorHAnsi" w:cs="Arial"/>
                <w:sz w:val="18"/>
                <w:szCs w:val="18"/>
              </w:rPr>
              <w:t xml:space="preserve">3 Patients </w:t>
            </w:r>
          </w:p>
        </w:tc>
      </w:tr>
      <w:tr w:rsidR="00F073F7" w:rsidRPr="00F676A2" w14:paraId="4D3E1E20" w14:textId="77777777" w:rsidTr="00D57159">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2825" w:type="dxa"/>
          </w:tcPr>
          <w:p w14:paraId="234C9D3E" w14:textId="77777777" w:rsidR="00F073F7" w:rsidRPr="00ED5A44" w:rsidRDefault="00F073F7" w:rsidP="00F073F7">
            <w:pPr>
              <w:spacing w:before="0"/>
              <w:rPr>
                <w:rFonts w:eastAsiaTheme="majorEastAsia" w:cs="Arial"/>
                <w:sz w:val="18"/>
                <w:szCs w:val="18"/>
              </w:rPr>
            </w:pPr>
            <w:r w:rsidRPr="00ED5A44">
              <w:rPr>
                <w:rFonts w:eastAsiaTheme="majorEastAsia" w:cs="Arial"/>
                <w:sz w:val="18"/>
                <w:szCs w:val="18"/>
              </w:rPr>
              <w:t>Sheldon Ward</w:t>
            </w:r>
          </w:p>
        </w:tc>
        <w:tc>
          <w:tcPr>
            <w:tcW w:w="1134" w:type="dxa"/>
          </w:tcPr>
          <w:p w14:paraId="4D3907E6"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November 22</w:t>
            </w:r>
          </w:p>
        </w:tc>
        <w:tc>
          <w:tcPr>
            <w:tcW w:w="1701" w:type="dxa"/>
          </w:tcPr>
          <w:p w14:paraId="1FF0DB1F"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COVID-19</w:t>
            </w:r>
          </w:p>
        </w:tc>
        <w:tc>
          <w:tcPr>
            <w:tcW w:w="4678" w:type="dxa"/>
          </w:tcPr>
          <w:p w14:paraId="7613028F"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1 Staff</w:t>
            </w:r>
          </w:p>
          <w:p w14:paraId="52562108"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 xml:space="preserve">6 Patients </w:t>
            </w:r>
          </w:p>
        </w:tc>
      </w:tr>
      <w:tr w:rsidR="00F073F7" w:rsidRPr="00F676A2" w14:paraId="7A6C5561" w14:textId="77777777" w:rsidTr="00D57159">
        <w:trPr>
          <w:cnfStyle w:val="000000010000" w:firstRow="0" w:lastRow="0" w:firstColumn="0" w:lastColumn="0" w:oddVBand="0" w:evenVBand="0" w:oddHBand="0" w:evenHBand="1"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2825" w:type="dxa"/>
          </w:tcPr>
          <w:p w14:paraId="631692E1" w14:textId="77777777" w:rsidR="00F073F7" w:rsidRPr="00ED5A44" w:rsidRDefault="00F073F7" w:rsidP="00F073F7">
            <w:pPr>
              <w:spacing w:before="0"/>
              <w:rPr>
                <w:rFonts w:eastAsiaTheme="majorEastAsia" w:cs="Arial"/>
                <w:sz w:val="18"/>
                <w:szCs w:val="18"/>
              </w:rPr>
            </w:pPr>
            <w:r w:rsidRPr="00ED5A44">
              <w:rPr>
                <w:rFonts w:eastAsiaTheme="majorEastAsia" w:cs="Arial"/>
                <w:sz w:val="18"/>
                <w:szCs w:val="18"/>
              </w:rPr>
              <w:lastRenderedPageBreak/>
              <w:t>Sheldon Ward</w:t>
            </w:r>
          </w:p>
        </w:tc>
        <w:tc>
          <w:tcPr>
            <w:tcW w:w="1134" w:type="dxa"/>
          </w:tcPr>
          <w:p w14:paraId="740DB919" w14:textId="77777777" w:rsidR="00F073F7" w:rsidRPr="00ED5A44" w:rsidRDefault="00F073F7"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sidRPr="00ED5A44">
              <w:rPr>
                <w:rFonts w:eastAsiaTheme="minorHAnsi" w:cs="Arial"/>
                <w:sz w:val="18"/>
                <w:szCs w:val="18"/>
              </w:rPr>
              <w:t>December 22</w:t>
            </w:r>
          </w:p>
        </w:tc>
        <w:tc>
          <w:tcPr>
            <w:tcW w:w="1701" w:type="dxa"/>
          </w:tcPr>
          <w:p w14:paraId="4D82DB7C" w14:textId="77777777" w:rsidR="00F073F7" w:rsidRPr="00ED5A44" w:rsidRDefault="00F073F7"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sidRPr="00ED5A44">
              <w:rPr>
                <w:rFonts w:eastAsiaTheme="minorHAnsi" w:cs="Arial"/>
                <w:sz w:val="18"/>
                <w:szCs w:val="18"/>
              </w:rPr>
              <w:t>COVID-19</w:t>
            </w:r>
          </w:p>
        </w:tc>
        <w:tc>
          <w:tcPr>
            <w:tcW w:w="4678" w:type="dxa"/>
          </w:tcPr>
          <w:p w14:paraId="6040F637" w14:textId="77777777" w:rsidR="00F073F7" w:rsidRDefault="00EF3F3A"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Pr>
                <w:rFonts w:eastAsiaTheme="minorHAnsi" w:cs="Arial"/>
                <w:sz w:val="18"/>
                <w:szCs w:val="18"/>
              </w:rPr>
              <w:t>8 Patients</w:t>
            </w:r>
          </w:p>
          <w:p w14:paraId="302AF100" w14:textId="30A56CE8" w:rsidR="00EF3F3A" w:rsidRPr="00ED5A44" w:rsidRDefault="00EF3F3A" w:rsidP="00F073F7">
            <w:pPr>
              <w:spacing w:before="0"/>
              <w:cnfStyle w:val="000000010000" w:firstRow="0" w:lastRow="0" w:firstColumn="0" w:lastColumn="0" w:oddVBand="0" w:evenVBand="0" w:oddHBand="0" w:evenHBand="1" w:firstRowFirstColumn="0" w:firstRowLastColumn="0" w:lastRowFirstColumn="0" w:lastRowLastColumn="0"/>
              <w:rPr>
                <w:rFonts w:eastAsiaTheme="minorHAnsi" w:cs="Arial"/>
                <w:sz w:val="18"/>
                <w:szCs w:val="18"/>
              </w:rPr>
            </w:pPr>
            <w:r>
              <w:rPr>
                <w:rFonts w:eastAsiaTheme="minorHAnsi" w:cs="Arial"/>
                <w:sz w:val="18"/>
                <w:szCs w:val="18"/>
              </w:rPr>
              <w:t>8 Staff</w:t>
            </w:r>
          </w:p>
        </w:tc>
      </w:tr>
      <w:tr w:rsidR="00F073F7" w:rsidRPr="00F676A2" w14:paraId="7668B69F" w14:textId="77777777" w:rsidTr="00123C13">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825" w:type="dxa"/>
          </w:tcPr>
          <w:p w14:paraId="291455E9" w14:textId="77777777" w:rsidR="00F073F7" w:rsidRPr="00ED5A44" w:rsidRDefault="00F073F7" w:rsidP="00F073F7">
            <w:pPr>
              <w:spacing w:before="0"/>
              <w:rPr>
                <w:rFonts w:eastAsiaTheme="majorEastAsia" w:cs="Arial"/>
                <w:sz w:val="18"/>
                <w:szCs w:val="18"/>
              </w:rPr>
            </w:pPr>
            <w:r w:rsidRPr="00ED5A44">
              <w:rPr>
                <w:rFonts w:eastAsiaTheme="majorEastAsia" w:cs="Arial"/>
                <w:sz w:val="18"/>
                <w:szCs w:val="18"/>
              </w:rPr>
              <w:t>Sheldon Ward</w:t>
            </w:r>
          </w:p>
        </w:tc>
        <w:tc>
          <w:tcPr>
            <w:tcW w:w="1134" w:type="dxa"/>
          </w:tcPr>
          <w:p w14:paraId="0C30A63C"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March 23</w:t>
            </w:r>
          </w:p>
        </w:tc>
        <w:tc>
          <w:tcPr>
            <w:tcW w:w="1701" w:type="dxa"/>
          </w:tcPr>
          <w:p w14:paraId="4166166D"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 xml:space="preserve">COVID-19 </w:t>
            </w:r>
          </w:p>
        </w:tc>
        <w:tc>
          <w:tcPr>
            <w:tcW w:w="4678" w:type="dxa"/>
          </w:tcPr>
          <w:p w14:paraId="04772A25"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2 Staff</w:t>
            </w:r>
          </w:p>
          <w:p w14:paraId="6A98790C" w14:textId="77777777" w:rsidR="00F073F7" w:rsidRPr="00ED5A44" w:rsidRDefault="00F073F7" w:rsidP="00F073F7">
            <w:pPr>
              <w:spacing w:before="0"/>
              <w:cnfStyle w:val="000000100000" w:firstRow="0" w:lastRow="0" w:firstColumn="0" w:lastColumn="0" w:oddVBand="0" w:evenVBand="0" w:oddHBand="1" w:evenHBand="0" w:firstRowFirstColumn="0" w:firstRowLastColumn="0" w:lastRowFirstColumn="0" w:lastRowLastColumn="0"/>
              <w:rPr>
                <w:rFonts w:eastAsiaTheme="minorHAnsi" w:cs="Arial"/>
                <w:sz w:val="18"/>
                <w:szCs w:val="18"/>
              </w:rPr>
            </w:pPr>
            <w:r w:rsidRPr="00ED5A44">
              <w:rPr>
                <w:rFonts w:eastAsiaTheme="minorHAnsi" w:cs="Arial"/>
                <w:sz w:val="18"/>
                <w:szCs w:val="18"/>
              </w:rPr>
              <w:t>4 Patients</w:t>
            </w:r>
          </w:p>
        </w:tc>
      </w:tr>
    </w:tbl>
    <w:p w14:paraId="679DF136" w14:textId="162ED5F4" w:rsidR="005629DA" w:rsidRDefault="005629DA" w:rsidP="00220AE9">
      <w:pPr>
        <w:tabs>
          <w:tab w:val="left" w:pos="8060"/>
        </w:tabs>
        <w:rPr>
          <w:rFonts w:cs="Arial"/>
          <w:b/>
          <w:sz w:val="22"/>
        </w:rPr>
      </w:pPr>
    </w:p>
    <w:p w14:paraId="51A1F5FD" w14:textId="1930B429" w:rsidR="007646BE" w:rsidRDefault="002C5866" w:rsidP="00220AE9">
      <w:pPr>
        <w:tabs>
          <w:tab w:val="left" w:pos="8060"/>
        </w:tabs>
        <w:rPr>
          <w:rFonts w:cs="Arial"/>
          <w:bCs/>
          <w:sz w:val="20"/>
          <w:szCs w:val="20"/>
        </w:rPr>
      </w:pPr>
      <w:r w:rsidRPr="00DA3ADD">
        <w:rPr>
          <w:rFonts w:cs="Arial"/>
          <w:bCs/>
          <w:sz w:val="20"/>
          <w:szCs w:val="20"/>
        </w:rPr>
        <w:t>After action reviews were implemented in July 22. The reviews are structure</w:t>
      </w:r>
      <w:r w:rsidR="00514B78">
        <w:rPr>
          <w:rFonts w:cs="Arial"/>
          <w:bCs/>
          <w:sz w:val="20"/>
          <w:szCs w:val="20"/>
        </w:rPr>
        <w:t>d</w:t>
      </w:r>
      <w:r w:rsidRPr="00DA3ADD">
        <w:rPr>
          <w:rFonts w:cs="Arial"/>
          <w:bCs/>
          <w:sz w:val="20"/>
          <w:szCs w:val="20"/>
        </w:rPr>
        <w:t xml:space="preserve"> </w:t>
      </w:r>
      <w:proofErr w:type="spellStart"/>
      <w:r w:rsidRPr="00DA3ADD">
        <w:rPr>
          <w:rFonts w:cs="Arial"/>
          <w:bCs/>
          <w:sz w:val="20"/>
          <w:szCs w:val="20"/>
        </w:rPr>
        <w:t>to</w:t>
      </w:r>
      <w:r w:rsidR="00514B78">
        <w:rPr>
          <w:rFonts w:cs="Arial"/>
          <w:bCs/>
          <w:sz w:val="20"/>
          <w:szCs w:val="20"/>
        </w:rPr>
        <w:t>find</w:t>
      </w:r>
      <w:proofErr w:type="spellEnd"/>
      <w:r w:rsidRPr="00DA3ADD">
        <w:rPr>
          <w:rFonts w:cs="Arial"/>
          <w:bCs/>
          <w:sz w:val="20"/>
          <w:szCs w:val="20"/>
        </w:rPr>
        <w:t xml:space="preserve"> cause</w:t>
      </w:r>
      <w:r w:rsidR="00514B78">
        <w:rPr>
          <w:rFonts w:cs="Arial"/>
          <w:bCs/>
          <w:sz w:val="20"/>
          <w:szCs w:val="20"/>
        </w:rPr>
        <w:t xml:space="preserve"> and</w:t>
      </w:r>
      <w:r w:rsidR="00923E53" w:rsidRPr="00DA3ADD">
        <w:rPr>
          <w:rFonts w:cs="Arial"/>
          <w:bCs/>
          <w:sz w:val="20"/>
          <w:szCs w:val="20"/>
        </w:rPr>
        <w:t xml:space="preserve"> </w:t>
      </w:r>
      <w:r w:rsidRPr="00DA3ADD">
        <w:rPr>
          <w:rFonts w:cs="Arial"/>
          <w:bCs/>
          <w:sz w:val="20"/>
          <w:szCs w:val="20"/>
        </w:rPr>
        <w:t>contributory factors</w:t>
      </w:r>
      <w:r w:rsidR="00923E53" w:rsidRPr="00DA3ADD">
        <w:rPr>
          <w:rFonts w:cs="Arial"/>
          <w:bCs/>
          <w:sz w:val="20"/>
          <w:szCs w:val="20"/>
        </w:rPr>
        <w:t xml:space="preserve"> and </w:t>
      </w:r>
      <w:r w:rsidR="00514B78">
        <w:rPr>
          <w:rFonts w:cs="Arial"/>
          <w:bCs/>
          <w:sz w:val="20"/>
          <w:szCs w:val="20"/>
        </w:rPr>
        <w:t xml:space="preserve">to share </w:t>
      </w:r>
      <w:r w:rsidR="00923E53" w:rsidRPr="00DA3ADD">
        <w:rPr>
          <w:rFonts w:cs="Arial"/>
          <w:bCs/>
          <w:sz w:val="20"/>
          <w:szCs w:val="20"/>
        </w:rPr>
        <w:t>lessons learned.</w:t>
      </w:r>
    </w:p>
    <w:p w14:paraId="64A85E3F" w14:textId="1E9F046B" w:rsidR="00923E53" w:rsidRPr="00923E53" w:rsidRDefault="00923E53" w:rsidP="00220AE9">
      <w:pPr>
        <w:tabs>
          <w:tab w:val="left" w:pos="8060"/>
        </w:tabs>
        <w:rPr>
          <w:rFonts w:cs="Arial"/>
          <w:bCs/>
          <w:sz w:val="20"/>
          <w:szCs w:val="20"/>
        </w:rPr>
      </w:pPr>
      <w:r w:rsidRPr="00DA3ADD">
        <w:rPr>
          <w:rFonts w:cs="Arial"/>
          <w:bCs/>
          <w:sz w:val="20"/>
          <w:szCs w:val="20"/>
        </w:rPr>
        <w:t>The review</w:t>
      </w:r>
      <w:r w:rsidR="007646BE">
        <w:rPr>
          <w:rFonts w:cs="Arial"/>
          <w:bCs/>
          <w:sz w:val="20"/>
          <w:szCs w:val="20"/>
        </w:rPr>
        <w:t>s</w:t>
      </w:r>
      <w:r w:rsidRPr="00DA3ADD">
        <w:rPr>
          <w:rFonts w:cs="Arial"/>
          <w:bCs/>
          <w:sz w:val="20"/>
          <w:szCs w:val="20"/>
        </w:rPr>
        <w:t xml:space="preserve"> were led by the IPC Team in collaboration with the Matron and Ward/Departmental Manager.  Feedback takes the form of a poster for areas to display. The following info graphic captures all actions and outcomes identified:</w:t>
      </w:r>
      <w:r w:rsidRPr="00923E53">
        <w:rPr>
          <w:rFonts w:cs="Arial"/>
          <w:bCs/>
          <w:sz w:val="20"/>
          <w:szCs w:val="20"/>
        </w:rPr>
        <w:t xml:space="preserve">  </w:t>
      </w:r>
    </w:p>
    <w:p w14:paraId="1A8F34BD" w14:textId="28567B90" w:rsidR="005629DA" w:rsidRDefault="005629DA" w:rsidP="00777B97">
      <w:pPr>
        <w:rPr>
          <w:sz w:val="22"/>
        </w:rPr>
      </w:pPr>
    </w:p>
    <w:p w14:paraId="7374070F" w14:textId="4EC78D41" w:rsidR="005629DA" w:rsidRDefault="005629DA" w:rsidP="00777B97">
      <w:pPr>
        <w:rPr>
          <w:sz w:val="22"/>
        </w:rPr>
      </w:pPr>
    </w:p>
    <w:p w14:paraId="3B51314A" w14:textId="226D0476" w:rsidR="005629DA" w:rsidRDefault="005629DA" w:rsidP="00777B97">
      <w:pPr>
        <w:rPr>
          <w:sz w:val="22"/>
        </w:rPr>
      </w:pPr>
    </w:p>
    <w:p w14:paraId="12675F64" w14:textId="22C347DC" w:rsidR="005629DA" w:rsidRDefault="005629DA" w:rsidP="00777B97">
      <w:pPr>
        <w:rPr>
          <w:sz w:val="22"/>
        </w:rPr>
      </w:pPr>
    </w:p>
    <w:p w14:paraId="38A8962B" w14:textId="28C2B41E" w:rsidR="005629DA" w:rsidRDefault="005629DA" w:rsidP="00777B97">
      <w:pPr>
        <w:rPr>
          <w:sz w:val="22"/>
        </w:rPr>
      </w:pPr>
    </w:p>
    <w:p w14:paraId="2A3C329A" w14:textId="6D55D621" w:rsidR="005629DA" w:rsidRDefault="005629DA" w:rsidP="00777B97">
      <w:pPr>
        <w:rPr>
          <w:sz w:val="22"/>
        </w:rPr>
      </w:pPr>
    </w:p>
    <w:p w14:paraId="33A4B66D" w14:textId="50F749C4" w:rsidR="005629DA" w:rsidRDefault="005629DA" w:rsidP="00777B97">
      <w:pPr>
        <w:rPr>
          <w:sz w:val="22"/>
        </w:rPr>
      </w:pPr>
    </w:p>
    <w:p w14:paraId="39D5B9B2" w14:textId="5741C52B" w:rsidR="005629DA" w:rsidRDefault="005629DA" w:rsidP="00777B97">
      <w:pPr>
        <w:rPr>
          <w:sz w:val="22"/>
        </w:rPr>
      </w:pPr>
    </w:p>
    <w:p w14:paraId="1135E4DB" w14:textId="5B995E0E" w:rsidR="005629DA" w:rsidRDefault="005629DA" w:rsidP="00777B97">
      <w:pPr>
        <w:rPr>
          <w:sz w:val="22"/>
        </w:rPr>
      </w:pPr>
    </w:p>
    <w:p w14:paraId="25BA1747" w14:textId="6F1BD09D" w:rsidR="005629DA" w:rsidRDefault="005629DA" w:rsidP="00777B97">
      <w:pPr>
        <w:rPr>
          <w:sz w:val="22"/>
        </w:rPr>
      </w:pPr>
    </w:p>
    <w:p w14:paraId="191EFE5D" w14:textId="2CEFCE15" w:rsidR="005629DA" w:rsidRDefault="005629DA" w:rsidP="00777B97">
      <w:pPr>
        <w:rPr>
          <w:sz w:val="22"/>
        </w:rPr>
      </w:pPr>
    </w:p>
    <w:p w14:paraId="079A60F1" w14:textId="4885BE5D" w:rsidR="005629DA" w:rsidRDefault="005629DA" w:rsidP="00777B97">
      <w:pPr>
        <w:rPr>
          <w:sz w:val="22"/>
        </w:rPr>
      </w:pPr>
    </w:p>
    <w:p w14:paraId="4DE4D432" w14:textId="5EAD56E8" w:rsidR="005629DA" w:rsidRDefault="005629DA" w:rsidP="00777B97">
      <w:pPr>
        <w:rPr>
          <w:sz w:val="22"/>
        </w:rPr>
      </w:pPr>
    </w:p>
    <w:p w14:paraId="3AEBECD4" w14:textId="07E96619" w:rsidR="005629DA" w:rsidRDefault="005629DA" w:rsidP="00777B97">
      <w:pPr>
        <w:rPr>
          <w:sz w:val="22"/>
        </w:rPr>
      </w:pPr>
    </w:p>
    <w:p w14:paraId="1FFE81D5" w14:textId="01C79D6D" w:rsidR="005629DA" w:rsidRDefault="005629DA" w:rsidP="00777B97">
      <w:pPr>
        <w:rPr>
          <w:sz w:val="22"/>
        </w:rPr>
      </w:pPr>
    </w:p>
    <w:p w14:paraId="61EF184A" w14:textId="77777777" w:rsidR="005629DA" w:rsidRDefault="005629DA" w:rsidP="00777B97">
      <w:pPr>
        <w:rPr>
          <w:sz w:val="22"/>
        </w:rPr>
      </w:pPr>
    </w:p>
    <w:p w14:paraId="47FA4980" w14:textId="7314DD0C" w:rsidR="002C5866" w:rsidRDefault="0058054A" w:rsidP="00777B97">
      <w:pPr>
        <w:rPr>
          <w:sz w:val="22"/>
        </w:rPr>
      </w:pPr>
      <w:r>
        <w:rPr>
          <w:noProof/>
          <w:sz w:val="22"/>
        </w:rPr>
        <w:lastRenderedPageBreak/>
        <w:drawing>
          <wp:inline distT="0" distB="0" distL="0" distR="0" wp14:anchorId="50462771" wp14:editId="319FE0BB">
            <wp:extent cx="6645910" cy="4006908"/>
            <wp:effectExtent l="0" t="0" r="0" b="0"/>
            <wp:docPr id="1"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4006908"/>
                    </a:xfrm>
                    <a:prstGeom prst="rect">
                      <a:avLst/>
                    </a:prstGeom>
                    <a:noFill/>
                  </pic:spPr>
                </pic:pic>
              </a:graphicData>
            </a:graphic>
          </wp:inline>
        </w:drawing>
      </w:r>
    </w:p>
    <w:p w14:paraId="719DB86A" w14:textId="77777777" w:rsidR="0058054A" w:rsidRDefault="0058054A" w:rsidP="00777B97">
      <w:pPr>
        <w:rPr>
          <w:sz w:val="22"/>
        </w:rPr>
      </w:pPr>
    </w:p>
    <w:p w14:paraId="7C4BF222" w14:textId="77777777" w:rsidR="002C5866" w:rsidRDefault="002C5866" w:rsidP="00777B97">
      <w:pPr>
        <w:rPr>
          <w:sz w:val="22"/>
        </w:rPr>
      </w:pPr>
    </w:p>
    <w:p w14:paraId="47D29173" w14:textId="77777777" w:rsidR="006858F7" w:rsidRPr="0027065A" w:rsidRDefault="006858F7" w:rsidP="0058054A">
      <w:pPr>
        <w:pStyle w:val="Heading3"/>
        <w:ind w:left="432"/>
        <w:rPr>
          <w:b/>
          <w:color w:val="auto"/>
          <w:sz w:val="24"/>
          <w:szCs w:val="24"/>
          <w:u w:val="single"/>
        </w:rPr>
      </w:pPr>
      <w:r w:rsidRPr="0027065A">
        <w:rPr>
          <w:b/>
          <w:color w:val="auto"/>
          <w:sz w:val="24"/>
          <w:szCs w:val="24"/>
          <w:u w:val="single"/>
        </w:rPr>
        <w:t>Serious Incidents/ Periods of Increased Incidence</w:t>
      </w:r>
      <w:r w:rsidRPr="0027065A">
        <w:rPr>
          <w:sz w:val="24"/>
          <w:szCs w:val="24"/>
        </w:rPr>
        <w:t xml:space="preserve"> </w:t>
      </w:r>
    </w:p>
    <w:p w14:paraId="4BF7374A" w14:textId="77777777" w:rsidR="00F41AB9" w:rsidRPr="004D4A23" w:rsidRDefault="00F41AB9" w:rsidP="00F41AB9">
      <w:pPr>
        <w:rPr>
          <w:rFonts w:cs="Arial"/>
          <w:color w:val="000000" w:themeColor="text1"/>
          <w:sz w:val="16"/>
          <w:szCs w:val="16"/>
        </w:rPr>
      </w:pPr>
    </w:p>
    <w:p w14:paraId="6A1265EF" w14:textId="28BAE65B" w:rsidR="005B21AE" w:rsidRPr="0058054A" w:rsidRDefault="00C02D7E" w:rsidP="0058054A">
      <w:pPr>
        <w:pStyle w:val="NoSpacing"/>
        <w:ind w:left="426"/>
        <w:jc w:val="both"/>
        <w:rPr>
          <w:rFonts w:ascii="Arial" w:hAnsi="Arial" w:cs="Arial"/>
          <w:sz w:val="20"/>
          <w:szCs w:val="20"/>
        </w:rPr>
      </w:pPr>
      <w:r w:rsidRPr="00C02D7E">
        <w:rPr>
          <w:rFonts w:ascii="Arial" w:hAnsi="Arial" w:cs="Arial"/>
          <w:sz w:val="20"/>
          <w:szCs w:val="20"/>
        </w:rPr>
        <w:t>On 20</w:t>
      </w:r>
      <w:r w:rsidRPr="00C02D7E">
        <w:rPr>
          <w:rFonts w:ascii="Arial" w:hAnsi="Arial" w:cs="Arial"/>
          <w:sz w:val="20"/>
          <w:szCs w:val="20"/>
          <w:vertAlign w:val="superscript"/>
        </w:rPr>
        <w:t xml:space="preserve"> </w:t>
      </w:r>
      <w:r w:rsidRPr="00C02D7E">
        <w:rPr>
          <w:rFonts w:ascii="Arial" w:hAnsi="Arial" w:cs="Arial"/>
          <w:sz w:val="20"/>
          <w:szCs w:val="20"/>
        </w:rPr>
        <w:t>July 2021 an outbreak of Methicillin Resistant Staphylococcus Aureus (MRSA) was declared on Wrekin ward</w:t>
      </w:r>
      <w:r>
        <w:rPr>
          <w:rFonts w:ascii="Arial" w:hAnsi="Arial" w:cs="Arial"/>
          <w:sz w:val="20"/>
          <w:szCs w:val="20"/>
        </w:rPr>
        <w:t>,</w:t>
      </w:r>
      <w:r w:rsidRPr="00C02D7E">
        <w:rPr>
          <w:rFonts w:ascii="Arial" w:hAnsi="Arial" w:cs="Arial"/>
          <w:sz w:val="20"/>
          <w:szCs w:val="20"/>
        </w:rPr>
        <w:t xml:space="preserve"> which met the criteria of a Serious Incident. A total of ten patients tested positive for MRSA and it has been determined with evidence of transmission that eight of these patients contracted MRSA whilst admitted under the care of RJAH. The outbreak led to the closure of the Midland Centre for Spinal Injuries Unit (MCSI) on 26 July 20210 to further admissions until 23 August 2021. </w:t>
      </w:r>
    </w:p>
    <w:p w14:paraId="23988E9F" w14:textId="7105E732" w:rsidR="00FD7B50" w:rsidRDefault="00FD7B50" w:rsidP="00C02D7E">
      <w:pPr>
        <w:tabs>
          <w:tab w:val="left" w:pos="8060"/>
        </w:tabs>
        <w:ind w:left="426"/>
        <w:rPr>
          <w:rFonts w:cs="Arial"/>
          <w:sz w:val="20"/>
        </w:rPr>
      </w:pPr>
      <w:r w:rsidRPr="00C02D7E">
        <w:rPr>
          <w:rFonts w:cs="Arial"/>
          <w:sz w:val="20"/>
        </w:rPr>
        <w:t xml:space="preserve">Twice-weekly outbreak meetings were held that included </w:t>
      </w:r>
      <w:r w:rsidR="00C02D7E">
        <w:rPr>
          <w:rFonts w:cs="Arial"/>
          <w:sz w:val="20"/>
        </w:rPr>
        <w:t>ICS</w:t>
      </w:r>
      <w:r w:rsidRPr="00C02D7E">
        <w:rPr>
          <w:rFonts w:cs="Arial"/>
          <w:sz w:val="20"/>
        </w:rPr>
        <w:t xml:space="preserve">, UKHSA and NHSE.  Audits were undertaken by the IPC team </w:t>
      </w:r>
      <w:r w:rsidR="005B21AE">
        <w:rPr>
          <w:rFonts w:cs="Arial"/>
          <w:sz w:val="20"/>
        </w:rPr>
        <w:t xml:space="preserve">which </w:t>
      </w:r>
      <w:r w:rsidRPr="00C02D7E">
        <w:rPr>
          <w:rFonts w:cs="Arial"/>
          <w:sz w:val="20"/>
        </w:rPr>
        <w:t xml:space="preserve">showed issues relating to cleanliness, estates, clutter, and usage of PPE; and an initial audit showed a score of 79% compliance.  External audits were undertaken by NHSE and a peer review by SaTH which showed similar findings.  Over a period of two months, compliance scores improved to 98.5% which reflects the hard work and collaboration between the teams to improve standards. </w:t>
      </w:r>
    </w:p>
    <w:p w14:paraId="62563933" w14:textId="20DD523D" w:rsidR="00C02D7E" w:rsidRDefault="00C02D7E" w:rsidP="00C02D7E">
      <w:pPr>
        <w:tabs>
          <w:tab w:val="left" w:pos="8060"/>
        </w:tabs>
        <w:ind w:left="426"/>
        <w:rPr>
          <w:rFonts w:cs="Arial"/>
          <w:sz w:val="20"/>
          <w:szCs w:val="18"/>
        </w:rPr>
      </w:pPr>
      <w:r w:rsidRPr="00C03043">
        <w:rPr>
          <w:rFonts w:cs="Arial"/>
          <w:sz w:val="20"/>
          <w:szCs w:val="18"/>
        </w:rPr>
        <w:t xml:space="preserve">In May 2022 a breach of license was </w:t>
      </w:r>
      <w:proofErr w:type="gramStart"/>
      <w:r w:rsidRPr="00C03043">
        <w:rPr>
          <w:rFonts w:cs="Arial"/>
          <w:sz w:val="20"/>
          <w:szCs w:val="18"/>
        </w:rPr>
        <w:t>confirmed</w:t>
      </w:r>
      <w:proofErr w:type="gramEnd"/>
      <w:r w:rsidRPr="00C03043">
        <w:rPr>
          <w:rFonts w:cs="Arial"/>
          <w:sz w:val="20"/>
          <w:szCs w:val="18"/>
        </w:rPr>
        <w:t xml:space="preserve"> and Trust were to be moved to segment 3 on the single oversight framework (SOF3). Over the course of 2022/23 the Trust made significant improvements and successfully implemented actions, providing assurance that sustainable </w:t>
      </w:r>
      <w:proofErr w:type="gramStart"/>
      <w:r w:rsidRPr="00C03043">
        <w:rPr>
          <w:rFonts w:cs="Arial"/>
          <w:sz w:val="20"/>
          <w:szCs w:val="18"/>
        </w:rPr>
        <w:t>changes  have</w:t>
      </w:r>
      <w:proofErr w:type="gramEnd"/>
      <w:r w:rsidRPr="00C03043">
        <w:rPr>
          <w:rFonts w:cs="Arial"/>
          <w:sz w:val="20"/>
          <w:szCs w:val="18"/>
        </w:rPr>
        <w:t xml:space="preserve"> been embedded across the Trust. The Trust met the objectives set by NHS England, resulting in the Trust being moved from “red” to “green” on the Infection Prevention Control risk matrix and the removal of formal undertakings. The Trust also regularly received positive feedback that the improvements have been embedded and sustained across the organisation.</w:t>
      </w:r>
    </w:p>
    <w:p w14:paraId="392C2034" w14:textId="77777777" w:rsidR="00FD7B50" w:rsidRPr="002F31BD" w:rsidRDefault="00FD7B50" w:rsidP="002F31BD">
      <w:pPr>
        <w:tabs>
          <w:tab w:val="left" w:pos="8060"/>
        </w:tabs>
        <w:rPr>
          <w:rFonts w:cs="Arial"/>
          <w:sz w:val="20"/>
        </w:rPr>
      </w:pPr>
    </w:p>
    <w:p w14:paraId="3784817A" w14:textId="3163A1B1" w:rsidR="00FD7B50" w:rsidRPr="00C02D7E" w:rsidRDefault="00670D73" w:rsidP="00670D73">
      <w:pPr>
        <w:tabs>
          <w:tab w:val="left" w:pos="8060"/>
        </w:tabs>
        <w:ind w:left="426"/>
        <w:rPr>
          <w:rFonts w:cs="Arial"/>
          <w:sz w:val="20"/>
        </w:rPr>
      </w:pPr>
      <w:r>
        <w:rPr>
          <w:rFonts w:cs="Arial"/>
          <w:sz w:val="20"/>
        </w:rPr>
        <w:t>Actions were identified and included:</w:t>
      </w:r>
      <w:r w:rsidR="00C02D7E">
        <w:rPr>
          <w:rFonts w:cs="Arial"/>
          <w:sz w:val="20"/>
        </w:rPr>
        <w:tab/>
      </w:r>
      <w:r w:rsidR="00C02D7E">
        <w:rPr>
          <w:rFonts w:cs="Arial"/>
          <w:sz w:val="20"/>
        </w:rPr>
        <w:tab/>
      </w:r>
      <w:r w:rsidR="00C02D7E">
        <w:rPr>
          <w:rFonts w:cs="Arial"/>
          <w:sz w:val="20"/>
        </w:rPr>
        <w:tab/>
      </w:r>
      <w:r w:rsidR="00FD7B50" w:rsidRPr="00C02D7E">
        <w:rPr>
          <w:rFonts w:cs="Arial"/>
          <w:sz w:val="20"/>
        </w:rPr>
        <w:t xml:space="preserve">   </w:t>
      </w:r>
      <w:r w:rsidR="00C02D7E">
        <w:rPr>
          <w:rFonts w:cs="Arial"/>
          <w:sz w:val="20"/>
        </w:rPr>
        <w:t xml:space="preserve">                 </w:t>
      </w:r>
      <w:r w:rsidR="00FD7B50" w:rsidRPr="00C02D7E">
        <w:rPr>
          <w:rFonts w:cs="Arial"/>
          <w:sz w:val="20"/>
        </w:rPr>
        <w:tab/>
      </w:r>
      <w:r w:rsidR="00FD7B50" w:rsidRPr="00C02D7E">
        <w:rPr>
          <w:rFonts w:cs="Arial"/>
          <w:sz w:val="20"/>
        </w:rPr>
        <w:tab/>
      </w:r>
      <w:r w:rsidR="00FD7B50" w:rsidRPr="00C02D7E">
        <w:rPr>
          <w:rFonts w:cs="Arial"/>
          <w:sz w:val="20"/>
        </w:rPr>
        <w:tab/>
      </w:r>
    </w:p>
    <w:p w14:paraId="71680826" w14:textId="2293F19B" w:rsidR="00FD7B50" w:rsidRPr="001C2F49" w:rsidRDefault="00FD7B50" w:rsidP="00FD7B50">
      <w:pPr>
        <w:pStyle w:val="ListParagraph"/>
        <w:numPr>
          <w:ilvl w:val="0"/>
          <w:numId w:val="42"/>
        </w:numPr>
        <w:spacing w:before="0"/>
        <w:rPr>
          <w:rFonts w:eastAsia="Times New Roman" w:cs="Arial"/>
          <w:sz w:val="20"/>
          <w:szCs w:val="16"/>
          <w:lang w:eastAsia="en-GB"/>
        </w:rPr>
      </w:pPr>
      <w:r>
        <w:rPr>
          <w:rFonts w:cs="Arial"/>
          <w:kern w:val="24"/>
          <w:sz w:val="20"/>
          <w:szCs w:val="20"/>
          <w:lang w:eastAsia="en-GB"/>
        </w:rPr>
        <w:t xml:space="preserve">Review </w:t>
      </w:r>
      <w:r w:rsidR="00670D73">
        <w:rPr>
          <w:rFonts w:cs="Arial"/>
          <w:kern w:val="24"/>
          <w:sz w:val="20"/>
          <w:szCs w:val="20"/>
          <w:lang w:eastAsia="en-GB"/>
        </w:rPr>
        <w:t xml:space="preserve">of </w:t>
      </w:r>
      <w:proofErr w:type="spellStart"/>
      <w:r w:rsidR="00670D73">
        <w:rPr>
          <w:rFonts w:cs="Arial"/>
          <w:kern w:val="24"/>
          <w:sz w:val="20"/>
          <w:szCs w:val="20"/>
          <w:lang w:eastAsia="en-GB"/>
        </w:rPr>
        <w:t>the</w:t>
      </w:r>
      <w:r>
        <w:rPr>
          <w:rFonts w:cs="Arial"/>
          <w:kern w:val="24"/>
          <w:sz w:val="20"/>
          <w:szCs w:val="20"/>
          <w:lang w:eastAsia="en-GB"/>
        </w:rPr>
        <w:t>Trust</w:t>
      </w:r>
      <w:proofErr w:type="spellEnd"/>
      <w:r w:rsidRPr="001C2F49">
        <w:rPr>
          <w:rFonts w:cs="Arial"/>
          <w:kern w:val="24"/>
          <w:sz w:val="20"/>
          <w:szCs w:val="20"/>
          <w:lang w:eastAsia="en-GB"/>
        </w:rPr>
        <w:t xml:space="preserve"> MRSA policy </w:t>
      </w:r>
    </w:p>
    <w:p w14:paraId="41AB04EA" w14:textId="77777777" w:rsidR="00670D73" w:rsidRPr="00670D73" w:rsidRDefault="00FD7B50" w:rsidP="00FD7B50">
      <w:pPr>
        <w:pStyle w:val="ListParagraph"/>
        <w:numPr>
          <w:ilvl w:val="0"/>
          <w:numId w:val="42"/>
        </w:numPr>
        <w:spacing w:before="0"/>
        <w:rPr>
          <w:rFonts w:eastAsia="Times New Roman" w:cs="Arial"/>
          <w:sz w:val="20"/>
          <w:szCs w:val="16"/>
          <w:lang w:eastAsia="en-GB"/>
        </w:rPr>
      </w:pPr>
      <w:r w:rsidRPr="001C2F49">
        <w:rPr>
          <w:rFonts w:cs="Arial"/>
          <w:kern w:val="24"/>
          <w:sz w:val="20"/>
          <w:szCs w:val="20"/>
          <w:lang w:eastAsia="en-GB"/>
        </w:rPr>
        <w:t xml:space="preserve">Clear cleaning responsibilities between clinical and domestic to be </w:t>
      </w:r>
      <w:proofErr w:type="gramStart"/>
      <w:r w:rsidRPr="001C2F49">
        <w:rPr>
          <w:rFonts w:cs="Arial"/>
          <w:kern w:val="24"/>
          <w:sz w:val="20"/>
          <w:szCs w:val="20"/>
          <w:lang w:eastAsia="en-GB"/>
        </w:rPr>
        <w:t>defined</w:t>
      </w:r>
      <w:proofErr w:type="gramEnd"/>
    </w:p>
    <w:p w14:paraId="69B8E6E9" w14:textId="77777777" w:rsidR="00670D73" w:rsidRPr="00670D73" w:rsidRDefault="00670D73" w:rsidP="00FD7B50">
      <w:pPr>
        <w:pStyle w:val="ListParagraph"/>
        <w:numPr>
          <w:ilvl w:val="0"/>
          <w:numId w:val="42"/>
        </w:numPr>
        <w:spacing w:before="0"/>
        <w:rPr>
          <w:rFonts w:eastAsia="Times New Roman" w:cs="Arial"/>
          <w:sz w:val="20"/>
          <w:szCs w:val="16"/>
          <w:lang w:eastAsia="en-GB"/>
        </w:rPr>
      </w:pPr>
      <w:r>
        <w:rPr>
          <w:rFonts w:cs="Arial"/>
          <w:kern w:val="24"/>
          <w:sz w:val="20"/>
          <w:szCs w:val="20"/>
          <w:lang w:eastAsia="en-GB"/>
        </w:rPr>
        <w:t xml:space="preserve">Introduction of a </w:t>
      </w:r>
      <w:proofErr w:type="spellStart"/>
      <w:r>
        <w:rPr>
          <w:rFonts w:cs="Arial"/>
          <w:kern w:val="24"/>
          <w:sz w:val="20"/>
          <w:szCs w:val="20"/>
          <w:lang w:eastAsia="en-GB"/>
        </w:rPr>
        <w:t>Trustwide</w:t>
      </w:r>
      <w:proofErr w:type="spellEnd"/>
      <w:r>
        <w:rPr>
          <w:rFonts w:cs="Arial"/>
          <w:kern w:val="24"/>
          <w:sz w:val="20"/>
          <w:szCs w:val="20"/>
          <w:lang w:eastAsia="en-GB"/>
        </w:rPr>
        <w:t xml:space="preserve"> Improvement Plan where actions were monitored weekly to ensure </w:t>
      </w:r>
      <w:proofErr w:type="gramStart"/>
      <w:r>
        <w:rPr>
          <w:rFonts w:cs="Arial"/>
          <w:kern w:val="24"/>
          <w:sz w:val="20"/>
          <w:szCs w:val="20"/>
          <w:lang w:eastAsia="en-GB"/>
        </w:rPr>
        <w:t>oversight</w:t>
      </w:r>
      <w:proofErr w:type="gramEnd"/>
      <w:r>
        <w:rPr>
          <w:rFonts w:cs="Arial"/>
          <w:kern w:val="24"/>
          <w:sz w:val="20"/>
          <w:szCs w:val="20"/>
          <w:lang w:eastAsia="en-GB"/>
        </w:rPr>
        <w:t xml:space="preserve"> </w:t>
      </w:r>
    </w:p>
    <w:p w14:paraId="3F0D8A0C" w14:textId="14AFDD86" w:rsidR="00FD7B50" w:rsidRPr="001C2F49" w:rsidRDefault="00670D73" w:rsidP="00FD7B50">
      <w:pPr>
        <w:pStyle w:val="ListParagraph"/>
        <w:numPr>
          <w:ilvl w:val="0"/>
          <w:numId w:val="42"/>
        </w:numPr>
        <w:spacing w:before="0"/>
        <w:rPr>
          <w:rFonts w:eastAsia="Times New Roman" w:cs="Arial"/>
          <w:sz w:val="20"/>
          <w:szCs w:val="16"/>
          <w:lang w:eastAsia="en-GB"/>
        </w:rPr>
      </w:pPr>
      <w:r>
        <w:rPr>
          <w:rFonts w:cs="Arial"/>
          <w:kern w:val="24"/>
          <w:sz w:val="20"/>
          <w:szCs w:val="20"/>
          <w:lang w:eastAsia="en-GB"/>
        </w:rPr>
        <w:t xml:space="preserve">Improvements made to clinical areas such as new flooring, wall coverings, door protection, bathroom facilities, cleaning cupboards and </w:t>
      </w:r>
      <w:proofErr w:type="gramStart"/>
      <w:r>
        <w:rPr>
          <w:rFonts w:cs="Arial"/>
          <w:kern w:val="24"/>
          <w:sz w:val="20"/>
          <w:szCs w:val="20"/>
          <w:lang w:eastAsia="en-GB"/>
        </w:rPr>
        <w:t>kitchens</w:t>
      </w:r>
      <w:proofErr w:type="gramEnd"/>
      <w:r w:rsidR="00FD7B50" w:rsidRPr="001C2F49">
        <w:rPr>
          <w:rFonts w:cs="Arial"/>
          <w:kern w:val="24"/>
          <w:sz w:val="20"/>
          <w:szCs w:val="20"/>
          <w:lang w:eastAsia="en-GB"/>
        </w:rPr>
        <w:t xml:space="preserve"> </w:t>
      </w:r>
    </w:p>
    <w:p w14:paraId="0575CC19" w14:textId="77777777" w:rsidR="00FD7B50" w:rsidRPr="001C2F49" w:rsidRDefault="00FD7B50" w:rsidP="00FD7B50">
      <w:pPr>
        <w:pStyle w:val="ListParagraph"/>
        <w:numPr>
          <w:ilvl w:val="0"/>
          <w:numId w:val="42"/>
        </w:numPr>
        <w:spacing w:before="0"/>
        <w:rPr>
          <w:rFonts w:eastAsia="Times New Roman" w:cs="Arial"/>
          <w:sz w:val="20"/>
          <w:szCs w:val="16"/>
          <w:lang w:eastAsia="en-GB"/>
        </w:rPr>
      </w:pPr>
      <w:r w:rsidRPr="001C2F49">
        <w:rPr>
          <w:rFonts w:cs="Arial"/>
          <w:kern w:val="24"/>
          <w:sz w:val="20"/>
          <w:szCs w:val="20"/>
          <w:lang w:eastAsia="en-GB"/>
        </w:rPr>
        <w:t xml:space="preserve">Introduce groin swabbing as part of all patients medical/surgical </w:t>
      </w:r>
      <w:proofErr w:type="gramStart"/>
      <w:r w:rsidRPr="001C2F49">
        <w:rPr>
          <w:rFonts w:cs="Arial"/>
          <w:kern w:val="24"/>
          <w:sz w:val="20"/>
          <w:szCs w:val="20"/>
          <w:lang w:eastAsia="en-GB"/>
        </w:rPr>
        <w:t>pathways</w:t>
      </w:r>
      <w:proofErr w:type="gramEnd"/>
    </w:p>
    <w:p w14:paraId="1323977A" w14:textId="77777777" w:rsidR="00FD7B50" w:rsidRPr="001C2F49" w:rsidRDefault="00FD7B50" w:rsidP="00FD7B50">
      <w:pPr>
        <w:pStyle w:val="ListParagraph"/>
        <w:numPr>
          <w:ilvl w:val="0"/>
          <w:numId w:val="42"/>
        </w:numPr>
        <w:spacing w:before="0"/>
        <w:rPr>
          <w:rFonts w:eastAsia="Times New Roman" w:cs="Arial"/>
          <w:sz w:val="20"/>
          <w:szCs w:val="16"/>
          <w:lang w:eastAsia="en-GB"/>
        </w:rPr>
      </w:pPr>
      <w:r w:rsidRPr="001C2F49">
        <w:rPr>
          <w:rFonts w:eastAsia="Calibri" w:cs="Arial"/>
          <w:kern w:val="24"/>
          <w:sz w:val="20"/>
          <w:szCs w:val="20"/>
          <w:lang w:eastAsia="en-GB"/>
        </w:rPr>
        <w:t>Immediate identification and resolution of all environmental and estates repairs</w:t>
      </w:r>
    </w:p>
    <w:p w14:paraId="5776E63B" w14:textId="77777777" w:rsidR="00FD7B50" w:rsidRPr="00EE3576" w:rsidRDefault="00FD7B50" w:rsidP="00FD7B50">
      <w:pPr>
        <w:pStyle w:val="ListParagraph"/>
        <w:numPr>
          <w:ilvl w:val="0"/>
          <w:numId w:val="42"/>
        </w:numPr>
        <w:spacing w:before="0"/>
        <w:rPr>
          <w:rFonts w:eastAsia="Times New Roman" w:cs="Arial"/>
          <w:sz w:val="20"/>
          <w:szCs w:val="16"/>
          <w:lang w:eastAsia="en-GB"/>
        </w:rPr>
      </w:pPr>
      <w:r w:rsidRPr="001C2F49">
        <w:rPr>
          <w:rFonts w:eastAsia="Calibri" w:cs="Arial"/>
          <w:kern w:val="24"/>
          <w:sz w:val="20"/>
          <w:szCs w:val="20"/>
          <w:lang w:eastAsia="en-GB"/>
        </w:rPr>
        <w:lastRenderedPageBreak/>
        <w:t>Regular peer and external departmental audits of compliance with IPC</w:t>
      </w:r>
    </w:p>
    <w:p w14:paraId="076B4725" w14:textId="6E4A50E7" w:rsidR="00FD7B50" w:rsidRPr="00EE3576" w:rsidRDefault="00FD7B50" w:rsidP="00FD7B50">
      <w:pPr>
        <w:pStyle w:val="ListParagraph"/>
        <w:numPr>
          <w:ilvl w:val="0"/>
          <w:numId w:val="42"/>
        </w:numPr>
        <w:spacing w:before="0"/>
        <w:rPr>
          <w:rFonts w:eastAsia="Times New Roman" w:cs="Arial"/>
          <w:sz w:val="20"/>
          <w:szCs w:val="16"/>
          <w:lang w:eastAsia="en-GB"/>
        </w:rPr>
      </w:pPr>
      <w:r w:rsidRPr="00EE3576">
        <w:rPr>
          <w:rFonts w:eastAsia="Calibri" w:cs="Arial"/>
          <w:kern w:val="24"/>
          <w:sz w:val="20"/>
          <w:szCs w:val="20"/>
          <w:lang w:eastAsia="en-GB"/>
        </w:rPr>
        <w:t>IPC quality walkabout audits undertaken using the R</w:t>
      </w:r>
      <w:r w:rsidR="00670D73">
        <w:rPr>
          <w:rFonts w:eastAsia="Calibri" w:cs="Arial"/>
          <w:kern w:val="24"/>
          <w:sz w:val="20"/>
          <w:szCs w:val="20"/>
          <w:lang w:eastAsia="en-GB"/>
        </w:rPr>
        <w:t xml:space="preserve">ed </w:t>
      </w:r>
      <w:r w:rsidRPr="00EE3576">
        <w:rPr>
          <w:rFonts w:eastAsia="Calibri" w:cs="Arial"/>
          <w:kern w:val="24"/>
          <w:sz w:val="20"/>
          <w:szCs w:val="20"/>
          <w:lang w:eastAsia="en-GB"/>
        </w:rPr>
        <w:t>A</w:t>
      </w:r>
      <w:r w:rsidR="00670D73">
        <w:rPr>
          <w:rFonts w:eastAsia="Calibri" w:cs="Arial"/>
          <w:kern w:val="24"/>
          <w:sz w:val="20"/>
          <w:szCs w:val="20"/>
          <w:lang w:eastAsia="en-GB"/>
        </w:rPr>
        <w:t xml:space="preserve">mber </w:t>
      </w:r>
      <w:r w:rsidRPr="00EE3576">
        <w:rPr>
          <w:rFonts w:eastAsia="Calibri" w:cs="Arial"/>
          <w:kern w:val="24"/>
          <w:sz w:val="20"/>
          <w:szCs w:val="20"/>
          <w:lang w:eastAsia="en-GB"/>
        </w:rPr>
        <w:t>G</w:t>
      </w:r>
      <w:r w:rsidR="00670D73">
        <w:rPr>
          <w:rFonts w:eastAsia="Calibri" w:cs="Arial"/>
          <w:kern w:val="24"/>
          <w:sz w:val="20"/>
          <w:szCs w:val="20"/>
          <w:lang w:eastAsia="en-GB"/>
        </w:rPr>
        <w:t>reen</w:t>
      </w:r>
      <w:r w:rsidRPr="00EE3576">
        <w:rPr>
          <w:rFonts w:eastAsia="Calibri" w:cs="Arial"/>
          <w:kern w:val="24"/>
          <w:sz w:val="20"/>
          <w:szCs w:val="20"/>
          <w:lang w:eastAsia="en-GB"/>
        </w:rPr>
        <w:t xml:space="preserve"> rating system to determine frequency of audits dependant on the overall </w:t>
      </w:r>
      <w:proofErr w:type="gramStart"/>
      <w:r w:rsidRPr="00EE3576">
        <w:rPr>
          <w:rFonts w:eastAsia="Calibri" w:cs="Arial"/>
          <w:kern w:val="24"/>
          <w:sz w:val="20"/>
          <w:szCs w:val="20"/>
          <w:lang w:eastAsia="en-GB"/>
        </w:rPr>
        <w:t>score</w:t>
      </w:r>
      <w:proofErr w:type="gramEnd"/>
      <w:r w:rsidRPr="00EE3576">
        <w:rPr>
          <w:rFonts w:eastAsia="Calibri" w:cs="Arial"/>
          <w:kern w:val="24"/>
          <w:sz w:val="20"/>
          <w:szCs w:val="20"/>
          <w:lang w:eastAsia="en-GB"/>
        </w:rPr>
        <w:t xml:space="preserve"> </w:t>
      </w:r>
    </w:p>
    <w:p w14:paraId="39950486" w14:textId="77777777" w:rsidR="00FD7B50" w:rsidRPr="001C2F49" w:rsidRDefault="00FD7B50" w:rsidP="00FD7B50">
      <w:pPr>
        <w:pStyle w:val="ListParagraph"/>
        <w:numPr>
          <w:ilvl w:val="0"/>
          <w:numId w:val="42"/>
        </w:numPr>
        <w:spacing w:before="0"/>
        <w:rPr>
          <w:rFonts w:eastAsia="Times New Roman" w:cs="Arial"/>
          <w:sz w:val="20"/>
          <w:szCs w:val="16"/>
          <w:lang w:eastAsia="en-GB"/>
        </w:rPr>
      </w:pPr>
      <w:r w:rsidRPr="001C2F49">
        <w:rPr>
          <w:rFonts w:eastAsia="Calibri" w:cs="Arial"/>
          <w:kern w:val="24"/>
          <w:sz w:val="20"/>
          <w:szCs w:val="20"/>
          <w:lang w:eastAsia="en-GB"/>
        </w:rPr>
        <w:t>Develop avenues to check on understanding of IPC guidance and consider different ways of disseminating information.</w:t>
      </w:r>
    </w:p>
    <w:p w14:paraId="24DB575B" w14:textId="77777777" w:rsidR="00FD7B50" w:rsidRPr="00592959" w:rsidRDefault="00FD7B50" w:rsidP="00FD7B50">
      <w:pPr>
        <w:pStyle w:val="ListParagraph"/>
        <w:numPr>
          <w:ilvl w:val="0"/>
          <w:numId w:val="42"/>
        </w:numPr>
        <w:spacing w:before="0"/>
        <w:rPr>
          <w:rFonts w:eastAsia="Times New Roman" w:cs="Arial"/>
          <w:sz w:val="20"/>
          <w:szCs w:val="16"/>
          <w:lang w:eastAsia="en-GB"/>
        </w:rPr>
      </w:pPr>
      <w:r w:rsidRPr="001C2F49">
        <w:rPr>
          <w:rFonts w:cs="Arial"/>
          <w:kern w:val="24"/>
          <w:sz w:val="20"/>
          <w:szCs w:val="20"/>
          <w:lang w:eastAsia="en-GB"/>
        </w:rPr>
        <w:t>Audit of MRSA decolonisation regimes</w:t>
      </w:r>
    </w:p>
    <w:p w14:paraId="0DB30D43" w14:textId="340E93DC" w:rsidR="00FD7B50" w:rsidRPr="002F31BD" w:rsidRDefault="00FD7B50" w:rsidP="00FD7B50">
      <w:pPr>
        <w:pStyle w:val="ListParagraph"/>
        <w:numPr>
          <w:ilvl w:val="0"/>
          <w:numId w:val="42"/>
        </w:numPr>
        <w:spacing w:before="0"/>
        <w:rPr>
          <w:rFonts w:eastAsia="Times New Roman" w:cs="Arial"/>
          <w:sz w:val="20"/>
          <w:szCs w:val="16"/>
          <w:lang w:eastAsia="en-GB"/>
        </w:rPr>
      </w:pPr>
      <w:r>
        <w:rPr>
          <w:rFonts w:cs="Arial"/>
          <w:kern w:val="24"/>
          <w:sz w:val="20"/>
          <w:szCs w:val="20"/>
          <w:lang w:eastAsia="en-GB"/>
        </w:rPr>
        <w:t xml:space="preserve">Shared learning from outbreaks cascaded through clinical leads and </w:t>
      </w:r>
      <w:proofErr w:type="gramStart"/>
      <w:r>
        <w:rPr>
          <w:rFonts w:cs="Arial"/>
          <w:kern w:val="24"/>
          <w:sz w:val="20"/>
          <w:szCs w:val="20"/>
          <w:lang w:eastAsia="en-GB"/>
        </w:rPr>
        <w:t>ACNs</w:t>
      </w:r>
      <w:proofErr w:type="gramEnd"/>
    </w:p>
    <w:p w14:paraId="1368627C" w14:textId="77777777" w:rsidR="002F31BD" w:rsidRPr="002F31BD" w:rsidRDefault="002F31BD" w:rsidP="002F31BD">
      <w:pPr>
        <w:spacing w:before="0"/>
        <w:ind w:left="1166"/>
        <w:rPr>
          <w:rFonts w:eastAsia="Times New Roman" w:cs="Arial"/>
          <w:sz w:val="20"/>
          <w:szCs w:val="16"/>
          <w:lang w:eastAsia="en-GB"/>
        </w:rPr>
      </w:pPr>
    </w:p>
    <w:p w14:paraId="4FB01C04" w14:textId="2B1CF5BE" w:rsidR="002F31BD" w:rsidRPr="002F31BD" w:rsidRDefault="002F31BD" w:rsidP="002F31BD">
      <w:pPr>
        <w:spacing w:before="0" w:after="200"/>
        <w:ind w:left="426"/>
        <w:jc w:val="both"/>
        <w:rPr>
          <w:rFonts w:eastAsiaTheme="minorHAnsi" w:cs="Arial"/>
          <w:color w:val="000000" w:themeColor="text1"/>
          <w:sz w:val="20"/>
          <w:szCs w:val="20"/>
        </w:rPr>
      </w:pPr>
      <w:r w:rsidRPr="002F31BD">
        <w:rPr>
          <w:rFonts w:eastAsiaTheme="minorHAnsi" w:cs="Arial"/>
          <w:color w:val="000000" w:themeColor="text1"/>
          <w:sz w:val="20"/>
          <w:szCs w:val="20"/>
        </w:rPr>
        <w:t xml:space="preserve">In March 2023, the Board agreed that the Committee had delivered its purpose.  The dedicated committee was therefore disestablished and oversight of the residual actions, and the wider IPC agenda, were transferred back to the Quality and Safety Committee.  This arrangement was to be reviewed in six months’ time, to ensure sufficient focus was still being paid to the IPC </w:t>
      </w:r>
      <w:proofErr w:type="gramStart"/>
      <w:r w:rsidRPr="002F31BD">
        <w:rPr>
          <w:rFonts w:eastAsiaTheme="minorHAnsi" w:cs="Arial"/>
          <w:color w:val="000000" w:themeColor="text1"/>
          <w:sz w:val="20"/>
          <w:szCs w:val="20"/>
        </w:rPr>
        <w:t>agenda</w:t>
      </w:r>
      <w:proofErr w:type="gramEnd"/>
    </w:p>
    <w:p w14:paraId="0D569FF7" w14:textId="77777777" w:rsidR="00FD7B50" w:rsidRDefault="00FD7B50" w:rsidP="00FD7B50">
      <w:pPr>
        <w:pStyle w:val="ListParagraph"/>
        <w:tabs>
          <w:tab w:val="left" w:pos="8060"/>
        </w:tabs>
        <w:ind w:left="720"/>
        <w:rPr>
          <w:rFonts w:cs="Arial"/>
          <w:sz w:val="20"/>
        </w:rPr>
      </w:pPr>
    </w:p>
    <w:p w14:paraId="4F437B8E" w14:textId="6C32FD83" w:rsidR="00FD7B50" w:rsidRDefault="00FD7B50" w:rsidP="002F31BD">
      <w:pPr>
        <w:pStyle w:val="ListParagraph"/>
        <w:tabs>
          <w:tab w:val="left" w:pos="8060"/>
        </w:tabs>
        <w:ind w:left="426"/>
        <w:rPr>
          <w:rFonts w:cs="Arial"/>
          <w:sz w:val="20"/>
        </w:rPr>
      </w:pPr>
      <w:r>
        <w:rPr>
          <w:rFonts w:cs="Arial"/>
          <w:sz w:val="20"/>
        </w:rPr>
        <w:t>Moving forward</w:t>
      </w:r>
      <w:r w:rsidR="002F31BD">
        <w:rPr>
          <w:rFonts w:cs="Arial"/>
          <w:sz w:val="20"/>
        </w:rPr>
        <w:t>,</w:t>
      </w:r>
      <w:r>
        <w:rPr>
          <w:rFonts w:cs="Arial"/>
          <w:sz w:val="20"/>
        </w:rPr>
        <w:t xml:space="preserve"> the focus for MCSI is on the maintenance and sustainability of the standards that have been achieved since the outbreak.  The ward will continue to follow their standard auditing process; along with a programme of IPC quality assurance walks that will include collaboration with the Facilities team. </w:t>
      </w:r>
    </w:p>
    <w:p w14:paraId="29D73E41" w14:textId="77777777" w:rsidR="002F31BD" w:rsidRDefault="002F31BD" w:rsidP="002F31BD">
      <w:pPr>
        <w:pStyle w:val="ListParagraph"/>
        <w:tabs>
          <w:tab w:val="left" w:pos="8060"/>
        </w:tabs>
        <w:ind w:left="426"/>
        <w:rPr>
          <w:rFonts w:cs="Arial"/>
          <w:sz w:val="20"/>
        </w:rPr>
      </w:pPr>
    </w:p>
    <w:p w14:paraId="61A96578" w14:textId="0D2824D6" w:rsidR="00976592" w:rsidRPr="00976592" w:rsidRDefault="002F31BD" w:rsidP="00976592">
      <w:pPr>
        <w:pStyle w:val="ListParagraph"/>
        <w:tabs>
          <w:tab w:val="left" w:pos="8060"/>
        </w:tabs>
        <w:ind w:left="426"/>
        <w:rPr>
          <w:rFonts w:cs="Arial"/>
          <w:sz w:val="20"/>
        </w:rPr>
        <w:sectPr w:rsidR="00976592" w:rsidRPr="00976592" w:rsidSect="00CB09F8">
          <w:pgSz w:w="11906" w:h="16838"/>
          <w:pgMar w:top="720" w:right="720" w:bottom="720" w:left="720" w:header="709" w:footer="0" w:gutter="0"/>
          <w:cols w:space="708"/>
          <w:docGrid w:linePitch="360"/>
        </w:sectPr>
      </w:pPr>
      <w:r>
        <w:rPr>
          <w:rFonts w:cs="Arial"/>
          <w:sz w:val="20"/>
        </w:rPr>
        <w:t xml:space="preserve">It was important that we shared the learning around the outbreak across the Trust.  We were creative in the way we spread the important message that IPC is everybody’s </w:t>
      </w:r>
      <w:proofErr w:type="gramStart"/>
      <w:r>
        <w:rPr>
          <w:rFonts w:cs="Arial"/>
          <w:sz w:val="20"/>
        </w:rPr>
        <w:t>business</w:t>
      </w:r>
      <w:r w:rsidR="003A6A21">
        <w:rPr>
          <w:rFonts w:cs="Arial"/>
          <w:sz w:val="20"/>
        </w:rPr>
        <w:t>;</w:t>
      </w:r>
      <w:proofErr w:type="gramEnd"/>
      <w:r w:rsidR="003A6A21">
        <w:rPr>
          <w:rFonts w:cs="Arial"/>
          <w:sz w:val="20"/>
        </w:rPr>
        <w:t xml:space="preserve"> which is what inspired us to hold the IPC fayre (see</w:t>
      </w:r>
      <w:r w:rsidR="00FF0D32">
        <w:rPr>
          <w:rFonts w:cs="Arial"/>
          <w:sz w:val="20"/>
        </w:rPr>
        <w:t xml:space="preserve"> our</w:t>
      </w:r>
      <w:r w:rsidR="003A6A21">
        <w:rPr>
          <w:rFonts w:cs="Arial"/>
          <w:sz w:val="20"/>
        </w:rPr>
        <w:t xml:space="preserve"> key achievements).</w:t>
      </w:r>
      <w:r>
        <w:rPr>
          <w:rFonts w:cs="Arial"/>
          <w:sz w:val="20"/>
        </w:rPr>
        <w:t xml:space="preserve">  We continue to include our journey of improvement</w:t>
      </w:r>
      <w:r w:rsidR="00340667">
        <w:rPr>
          <w:rFonts w:cs="Arial"/>
          <w:sz w:val="20"/>
        </w:rPr>
        <w:t xml:space="preserve"> (see below graphic)</w:t>
      </w:r>
      <w:r>
        <w:rPr>
          <w:rFonts w:cs="Arial"/>
          <w:sz w:val="20"/>
        </w:rPr>
        <w:t xml:space="preserve"> in training sessions, including doctor’s inductions, HCSW sessions, orthopaedic course </w:t>
      </w:r>
      <w:r w:rsidR="003A6A21">
        <w:rPr>
          <w:rFonts w:cs="Arial"/>
          <w:sz w:val="20"/>
        </w:rPr>
        <w:t xml:space="preserve">teaching sessions.  We were able to reach a wide audience at the IPC Summit held in January, which offered attendees the opportunity to make their </w:t>
      </w:r>
      <w:proofErr w:type="spellStart"/>
      <w:r w:rsidR="003A6A21">
        <w:rPr>
          <w:rFonts w:cs="Arial"/>
          <w:sz w:val="20"/>
        </w:rPr>
        <w:t>pleadge</w:t>
      </w:r>
      <w:proofErr w:type="spellEnd"/>
      <w:r w:rsidR="003A6A21">
        <w:rPr>
          <w:rFonts w:cs="Arial"/>
          <w:sz w:val="20"/>
        </w:rPr>
        <w:t xml:space="preserve"> to infection prevention and control.</w:t>
      </w:r>
    </w:p>
    <w:p w14:paraId="4E2C227F" w14:textId="3E3C69A7" w:rsidR="00CC1B6B" w:rsidRDefault="007B3466" w:rsidP="00777B97">
      <w:pPr>
        <w:rPr>
          <w:color w:val="FF0000"/>
          <w:sz w:val="26"/>
          <w:szCs w:val="26"/>
        </w:rPr>
      </w:pPr>
      <w:r w:rsidRPr="007B3466">
        <w:rPr>
          <w:noProof/>
          <w:color w:val="FF0000"/>
          <w:sz w:val="26"/>
          <w:szCs w:val="26"/>
        </w:rPr>
        <w:lastRenderedPageBreak/>
        <w:drawing>
          <wp:inline distT="0" distB="0" distL="0" distR="0" wp14:anchorId="12E49A2A" wp14:editId="598EC751">
            <wp:extent cx="9810750" cy="6630670"/>
            <wp:effectExtent l="0" t="0" r="0" b="0"/>
            <wp:docPr id="201" name="Picture 201" descr="A timeline with green circl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timeline with green circles and white text&#10;&#10;Description automatically generated"/>
                    <pic:cNvPicPr/>
                  </pic:nvPicPr>
                  <pic:blipFill>
                    <a:blip r:embed="rId31"/>
                    <a:stretch>
                      <a:fillRect/>
                    </a:stretch>
                  </pic:blipFill>
                  <pic:spPr>
                    <a:xfrm>
                      <a:off x="0" y="0"/>
                      <a:ext cx="9821242" cy="6637761"/>
                    </a:xfrm>
                    <a:prstGeom prst="rect">
                      <a:avLst/>
                    </a:prstGeom>
                  </pic:spPr>
                </pic:pic>
              </a:graphicData>
            </a:graphic>
          </wp:inline>
        </w:drawing>
      </w:r>
    </w:p>
    <w:p w14:paraId="5581615D" w14:textId="77777777" w:rsidR="00976592" w:rsidRDefault="00976592" w:rsidP="00777B97">
      <w:pPr>
        <w:rPr>
          <w:color w:val="FF0000"/>
          <w:sz w:val="26"/>
          <w:szCs w:val="26"/>
        </w:rPr>
        <w:sectPr w:rsidR="00976592" w:rsidSect="00976592">
          <w:pgSz w:w="16838" w:h="11906" w:orient="landscape"/>
          <w:pgMar w:top="720" w:right="720" w:bottom="720" w:left="720" w:header="709" w:footer="0" w:gutter="0"/>
          <w:cols w:space="708"/>
          <w:docGrid w:linePitch="360"/>
        </w:sectPr>
      </w:pPr>
    </w:p>
    <w:p w14:paraId="63DCCBFE" w14:textId="77777777" w:rsidR="007B3466" w:rsidRDefault="007B3466" w:rsidP="00777B97">
      <w:pPr>
        <w:rPr>
          <w:color w:val="FF0000"/>
          <w:sz w:val="26"/>
          <w:szCs w:val="26"/>
        </w:rPr>
      </w:pPr>
    </w:p>
    <w:p w14:paraId="244BC888" w14:textId="77777777" w:rsidR="00993128" w:rsidRPr="00284DE7" w:rsidRDefault="00993128" w:rsidP="00FD3247">
      <w:pPr>
        <w:rPr>
          <w:b/>
          <w:sz w:val="26"/>
          <w:szCs w:val="26"/>
        </w:rPr>
      </w:pPr>
      <w:r w:rsidRPr="00284DE7">
        <w:rPr>
          <w:b/>
          <w:szCs w:val="24"/>
        </w:rPr>
        <w:t>Criterion 6: Systems to ensure that all care workers (including contractors and volunteers) are aware of and discharge their responsibilities in the process of preventing and controlling infection</w:t>
      </w:r>
      <w:r w:rsidRPr="00284DE7">
        <w:rPr>
          <w:b/>
        </w:rPr>
        <w:t>.</w:t>
      </w:r>
    </w:p>
    <w:p w14:paraId="7B76879B" w14:textId="55186CCE" w:rsidR="004D4A23" w:rsidRPr="00642242" w:rsidRDefault="00122797" w:rsidP="00483006">
      <w:pPr>
        <w:rPr>
          <w:sz w:val="20"/>
          <w:szCs w:val="20"/>
        </w:rPr>
      </w:pPr>
      <w:r w:rsidRPr="00642242">
        <w:rPr>
          <w:sz w:val="20"/>
          <w:szCs w:val="20"/>
        </w:rPr>
        <w:t xml:space="preserve">The following IPC </w:t>
      </w:r>
      <w:r w:rsidR="008C202F" w:rsidRPr="00642242">
        <w:rPr>
          <w:sz w:val="20"/>
          <w:szCs w:val="20"/>
        </w:rPr>
        <w:t>m</w:t>
      </w:r>
      <w:r w:rsidRPr="00642242">
        <w:rPr>
          <w:sz w:val="20"/>
          <w:szCs w:val="20"/>
        </w:rPr>
        <w:t xml:space="preserve">odules </w:t>
      </w:r>
      <w:r w:rsidR="008C202F" w:rsidRPr="00642242">
        <w:rPr>
          <w:sz w:val="20"/>
          <w:szCs w:val="20"/>
        </w:rPr>
        <w:t xml:space="preserve">are monitored via </w:t>
      </w:r>
      <w:r w:rsidRPr="00642242">
        <w:rPr>
          <w:sz w:val="20"/>
          <w:szCs w:val="20"/>
        </w:rPr>
        <w:t>ESR and mandatory for staff to completed:</w:t>
      </w:r>
      <w:r w:rsidRPr="00642242">
        <w:rPr>
          <w:sz w:val="20"/>
          <w:szCs w:val="20"/>
        </w:rPr>
        <w:br/>
      </w:r>
    </w:p>
    <w:p w14:paraId="70D3890C" w14:textId="6ADA34A3" w:rsidR="00122797" w:rsidRPr="00642242" w:rsidRDefault="00122797" w:rsidP="009D6D0B">
      <w:pPr>
        <w:pStyle w:val="ListParagraph"/>
        <w:numPr>
          <w:ilvl w:val="0"/>
          <w:numId w:val="31"/>
        </w:numPr>
        <w:rPr>
          <w:sz w:val="20"/>
          <w:szCs w:val="20"/>
        </w:rPr>
      </w:pPr>
      <w:r w:rsidRPr="00642242">
        <w:rPr>
          <w:sz w:val="20"/>
          <w:szCs w:val="20"/>
        </w:rPr>
        <w:t xml:space="preserve">Infection Control Training Clinical &amp; </w:t>
      </w:r>
      <w:proofErr w:type="gramStart"/>
      <w:r w:rsidRPr="00642242">
        <w:rPr>
          <w:sz w:val="20"/>
          <w:szCs w:val="20"/>
        </w:rPr>
        <w:t>Non Clinical</w:t>
      </w:r>
      <w:proofErr w:type="gramEnd"/>
    </w:p>
    <w:p w14:paraId="5022492D" w14:textId="5A10535E" w:rsidR="00122797" w:rsidRPr="00642242" w:rsidRDefault="00122797" w:rsidP="009D6D0B">
      <w:pPr>
        <w:pStyle w:val="ListParagraph"/>
        <w:numPr>
          <w:ilvl w:val="0"/>
          <w:numId w:val="31"/>
        </w:numPr>
        <w:rPr>
          <w:sz w:val="20"/>
          <w:szCs w:val="20"/>
        </w:rPr>
      </w:pPr>
      <w:r w:rsidRPr="00642242">
        <w:rPr>
          <w:sz w:val="20"/>
          <w:szCs w:val="20"/>
        </w:rPr>
        <w:t xml:space="preserve">Hand Hygiene </w:t>
      </w:r>
    </w:p>
    <w:p w14:paraId="3F5B29CB" w14:textId="30893D3F" w:rsidR="00122797" w:rsidRPr="00642242" w:rsidRDefault="00122797" w:rsidP="009D6D0B">
      <w:pPr>
        <w:pStyle w:val="ListParagraph"/>
        <w:numPr>
          <w:ilvl w:val="0"/>
          <w:numId w:val="31"/>
        </w:numPr>
        <w:rPr>
          <w:sz w:val="20"/>
          <w:szCs w:val="20"/>
        </w:rPr>
      </w:pPr>
      <w:r w:rsidRPr="00642242">
        <w:rPr>
          <w:sz w:val="20"/>
          <w:szCs w:val="20"/>
        </w:rPr>
        <w:t>Donning &amp; Doffing</w:t>
      </w:r>
    </w:p>
    <w:p w14:paraId="1BFF7108" w14:textId="2F74666D" w:rsidR="00122797" w:rsidRPr="00642242" w:rsidRDefault="00122797" w:rsidP="009D6D0B">
      <w:pPr>
        <w:pStyle w:val="ListParagraph"/>
        <w:numPr>
          <w:ilvl w:val="0"/>
          <w:numId w:val="31"/>
        </w:numPr>
        <w:rPr>
          <w:sz w:val="20"/>
          <w:szCs w:val="20"/>
        </w:rPr>
      </w:pPr>
      <w:r w:rsidRPr="00642242">
        <w:rPr>
          <w:sz w:val="20"/>
          <w:szCs w:val="20"/>
        </w:rPr>
        <w:t xml:space="preserve">Aseptic </w:t>
      </w:r>
      <w:proofErr w:type="gramStart"/>
      <w:r w:rsidRPr="00642242">
        <w:rPr>
          <w:sz w:val="20"/>
          <w:szCs w:val="20"/>
        </w:rPr>
        <w:t>Non Touch</w:t>
      </w:r>
      <w:proofErr w:type="gramEnd"/>
      <w:r w:rsidRPr="00642242">
        <w:rPr>
          <w:sz w:val="20"/>
          <w:szCs w:val="20"/>
        </w:rPr>
        <w:t xml:space="preserve"> Technique </w:t>
      </w:r>
    </w:p>
    <w:p w14:paraId="1F8A229D" w14:textId="5FC224AC" w:rsidR="00122797" w:rsidRPr="00642242" w:rsidRDefault="00122797" w:rsidP="009D6D0B">
      <w:pPr>
        <w:pStyle w:val="ListParagraph"/>
        <w:numPr>
          <w:ilvl w:val="0"/>
          <w:numId w:val="31"/>
        </w:numPr>
        <w:rPr>
          <w:sz w:val="20"/>
          <w:szCs w:val="20"/>
        </w:rPr>
      </w:pPr>
      <w:r w:rsidRPr="00642242">
        <w:rPr>
          <w:sz w:val="20"/>
          <w:szCs w:val="20"/>
        </w:rPr>
        <w:t>Cleaning for Confidence Intensive Care Units</w:t>
      </w:r>
    </w:p>
    <w:p w14:paraId="2749A6E0" w14:textId="5A68BA53" w:rsidR="00122797" w:rsidRPr="00642242" w:rsidRDefault="00122797" w:rsidP="009D6D0B">
      <w:pPr>
        <w:pStyle w:val="ListParagraph"/>
        <w:numPr>
          <w:ilvl w:val="0"/>
          <w:numId w:val="31"/>
        </w:numPr>
        <w:rPr>
          <w:sz w:val="20"/>
          <w:szCs w:val="20"/>
        </w:rPr>
      </w:pPr>
      <w:r w:rsidRPr="00642242">
        <w:rPr>
          <w:sz w:val="20"/>
          <w:szCs w:val="20"/>
        </w:rPr>
        <w:t>Cleaning for Confidence: Introduction</w:t>
      </w:r>
    </w:p>
    <w:p w14:paraId="44F37FE3" w14:textId="0C344998" w:rsidR="008743E5" w:rsidRPr="00642242" w:rsidRDefault="00122797" w:rsidP="00483006">
      <w:pPr>
        <w:rPr>
          <w:sz w:val="20"/>
          <w:szCs w:val="20"/>
        </w:rPr>
      </w:pPr>
      <w:r w:rsidRPr="00642242">
        <w:rPr>
          <w:sz w:val="20"/>
          <w:szCs w:val="20"/>
        </w:rPr>
        <w:t>The IPC QMS was expanded in June to monitor the trajectory of compliance to these training modules.</w:t>
      </w:r>
    </w:p>
    <w:p w14:paraId="4CF813ED" w14:textId="020BB99B" w:rsidR="008743E5" w:rsidRDefault="008743E5" w:rsidP="00483006">
      <w:pPr>
        <w:rPr>
          <w:sz w:val="20"/>
          <w:szCs w:val="20"/>
        </w:rPr>
      </w:pPr>
      <w:r w:rsidRPr="00642242">
        <w:rPr>
          <w:sz w:val="20"/>
          <w:szCs w:val="20"/>
        </w:rPr>
        <w:t>Graphs</w:t>
      </w:r>
      <w:r w:rsidR="00923E53" w:rsidRPr="00642242">
        <w:rPr>
          <w:sz w:val="20"/>
          <w:szCs w:val="20"/>
        </w:rPr>
        <w:t xml:space="preserve"> below</w:t>
      </w:r>
      <w:r w:rsidRPr="00642242">
        <w:rPr>
          <w:sz w:val="20"/>
          <w:szCs w:val="20"/>
        </w:rPr>
        <w:t xml:space="preserve"> </w:t>
      </w:r>
      <w:r w:rsidR="005F5E72" w:rsidRPr="00642242">
        <w:rPr>
          <w:sz w:val="20"/>
          <w:szCs w:val="20"/>
        </w:rPr>
        <w:t>evidence the</w:t>
      </w:r>
      <w:r w:rsidRPr="00642242">
        <w:rPr>
          <w:sz w:val="20"/>
          <w:szCs w:val="20"/>
        </w:rPr>
        <w:t xml:space="preserve"> continued upward trend to the compliance of </w:t>
      </w:r>
      <w:r w:rsidR="00923E53" w:rsidRPr="00642242">
        <w:rPr>
          <w:sz w:val="20"/>
          <w:szCs w:val="20"/>
        </w:rPr>
        <w:t xml:space="preserve">each </w:t>
      </w:r>
      <w:r w:rsidRPr="00642242">
        <w:rPr>
          <w:sz w:val="20"/>
          <w:szCs w:val="20"/>
        </w:rPr>
        <w:t>training module throughout the year.</w:t>
      </w:r>
      <w:r>
        <w:rPr>
          <w:sz w:val="20"/>
          <w:szCs w:val="20"/>
        </w:rPr>
        <w:t xml:space="preserve"> </w:t>
      </w:r>
    </w:p>
    <w:p w14:paraId="3CDD846B" w14:textId="192DE3E6" w:rsidR="008C202F" w:rsidRDefault="008C202F" w:rsidP="00483006">
      <w:pPr>
        <w:rPr>
          <w:sz w:val="20"/>
          <w:szCs w:val="20"/>
        </w:rPr>
      </w:pPr>
    </w:p>
    <w:p w14:paraId="108CBF08" w14:textId="335F8381" w:rsidR="008C202F" w:rsidRDefault="008C202F" w:rsidP="00483006">
      <w:pPr>
        <w:rPr>
          <w:sz w:val="20"/>
          <w:szCs w:val="20"/>
        </w:rPr>
      </w:pPr>
      <w:r>
        <w:rPr>
          <w:noProof/>
        </w:rPr>
        <w:drawing>
          <wp:inline distT="0" distB="0" distL="0" distR="0" wp14:anchorId="7244B85D" wp14:editId="2F65661E">
            <wp:extent cx="6119495" cy="1694517"/>
            <wp:effectExtent l="0" t="0" r="0" b="1270"/>
            <wp:docPr id="30" name="Chart 30">
              <a:extLst xmlns:a="http://schemas.openxmlformats.org/drawingml/2006/main">
                <a:ext uri="{FF2B5EF4-FFF2-40B4-BE49-F238E27FC236}">
                  <a16:creationId xmlns:a16="http://schemas.microsoft.com/office/drawing/2014/main" id="{00000000-0008-0000-11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83D2B83" w14:textId="47380C4D" w:rsidR="00122797" w:rsidRPr="00122797" w:rsidRDefault="008743E5" w:rsidP="008C202F">
      <w:pPr>
        <w:ind w:left="-142" w:right="-144" w:firstLine="142"/>
        <w:rPr>
          <w:sz w:val="20"/>
          <w:szCs w:val="20"/>
        </w:rPr>
      </w:pPr>
      <w:r>
        <w:rPr>
          <w:noProof/>
        </w:rPr>
        <w:drawing>
          <wp:inline distT="0" distB="0" distL="0" distR="0" wp14:anchorId="4C3CCD00" wp14:editId="3AF2754F">
            <wp:extent cx="6105525" cy="1867166"/>
            <wp:effectExtent l="0" t="0" r="0" b="0"/>
            <wp:docPr id="27" name="Chart 27">
              <a:extLst xmlns:a="http://schemas.openxmlformats.org/drawingml/2006/main">
                <a:ext uri="{FF2B5EF4-FFF2-40B4-BE49-F238E27FC236}">
                  <a16:creationId xmlns:a16="http://schemas.microsoft.com/office/drawing/2014/main" id="{00000000-0008-0000-11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67B2F51" w14:textId="4F0FEE1C" w:rsidR="00483006" w:rsidRDefault="008743E5" w:rsidP="00483006">
      <w:pPr>
        <w:rPr>
          <w:rFonts w:cstheme="minorHAnsi"/>
          <w:sz w:val="22"/>
          <w:szCs w:val="24"/>
        </w:rPr>
      </w:pPr>
      <w:r>
        <w:rPr>
          <w:noProof/>
        </w:rPr>
        <w:drawing>
          <wp:inline distT="0" distB="0" distL="0" distR="0" wp14:anchorId="6027D306" wp14:editId="3158E6F7">
            <wp:extent cx="6170295" cy="1982266"/>
            <wp:effectExtent l="0" t="0" r="1905" b="0"/>
            <wp:docPr id="28" name="Chart 28">
              <a:extLst xmlns:a="http://schemas.openxmlformats.org/drawingml/2006/main">
                <a:ext uri="{FF2B5EF4-FFF2-40B4-BE49-F238E27FC236}">
                  <a16:creationId xmlns:a16="http://schemas.microsoft.com/office/drawing/2014/main" id="{00000000-0008-0000-11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B0D200" w14:textId="5A921546" w:rsidR="008C202F" w:rsidRDefault="008C202F" w:rsidP="00483006">
      <w:pPr>
        <w:rPr>
          <w:rFonts w:cstheme="minorHAnsi"/>
          <w:sz w:val="22"/>
          <w:szCs w:val="24"/>
        </w:rPr>
      </w:pPr>
      <w:r>
        <w:rPr>
          <w:noProof/>
        </w:rPr>
        <w:lastRenderedPageBreak/>
        <w:drawing>
          <wp:inline distT="0" distB="0" distL="0" distR="0" wp14:anchorId="727D93AA" wp14:editId="36354BDB">
            <wp:extent cx="6119495" cy="1896177"/>
            <wp:effectExtent l="0" t="0" r="0" b="8890"/>
            <wp:docPr id="29" name="Chart 29">
              <a:extLst xmlns:a="http://schemas.openxmlformats.org/drawingml/2006/main">
                <a:ext uri="{FF2B5EF4-FFF2-40B4-BE49-F238E27FC236}">
                  <a16:creationId xmlns:a16="http://schemas.microsoft.com/office/drawing/2014/main" id="{00000000-0008-0000-11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1470C93" w14:textId="2132D39A" w:rsidR="008C202F" w:rsidRPr="000512D2" w:rsidRDefault="008C202F" w:rsidP="00483006">
      <w:pPr>
        <w:rPr>
          <w:rFonts w:cstheme="minorHAnsi"/>
          <w:sz w:val="22"/>
          <w:szCs w:val="24"/>
        </w:rPr>
      </w:pPr>
      <w:r>
        <w:rPr>
          <w:noProof/>
        </w:rPr>
        <w:drawing>
          <wp:inline distT="0" distB="0" distL="0" distR="0" wp14:anchorId="35EC844D" wp14:editId="3F0DC3A9">
            <wp:extent cx="6119495" cy="1809550"/>
            <wp:effectExtent l="0" t="0" r="0" b="635"/>
            <wp:docPr id="31" name="Chart 31">
              <a:extLst xmlns:a="http://schemas.openxmlformats.org/drawingml/2006/main">
                <a:ext uri="{FF2B5EF4-FFF2-40B4-BE49-F238E27FC236}">
                  <a16:creationId xmlns:a16="http://schemas.microsoft.com/office/drawing/2014/main" id="{00000000-0008-0000-11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AA40ABC" w14:textId="2B4D27AB" w:rsidR="0088400B" w:rsidRPr="00642242" w:rsidRDefault="0088400B" w:rsidP="006B469A">
      <w:pPr>
        <w:pStyle w:val="ListParagraph"/>
        <w:rPr>
          <w:rFonts w:cstheme="minorHAnsi"/>
          <w:sz w:val="20"/>
          <w:szCs w:val="20"/>
        </w:rPr>
      </w:pPr>
      <w:proofErr w:type="spellStart"/>
      <w:r w:rsidRPr="00642242">
        <w:rPr>
          <w:rFonts w:cstheme="minorHAnsi"/>
          <w:sz w:val="20"/>
          <w:szCs w:val="20"/>
        </w:rPr>
        <w:t>Additonal</w:t>
      </w:r>
      <w:proofErr w:type="spellEnd"/>
      <w:r w:rsidRPr="00642242">
        <w:rPr>
          <w:rFonts w:cstheme="minorHAnsi"/>
          <w:sz w:val="20"/>
          <w:szCs w:val="20"/>
        </w:rPr>
        <w:t xml:space="preserve"> to the mandatory suite of IPC modules managed via ESR, t</w:t>
      </w:r>
      <w:r w:rsidR="006B469A" w:rsidRPr="00642242">
        <w:rPr>
          <w:rFonts w:cstheme="minorHAnsi"/>
          <w:sz w:val="20"/>
          <w:szCs w:val="20"/>
        </w:rPr>
        <w:t>h</w:t>
      </w:r>
      <w:r w:rsidRPr="00642242">
        <w:rPr>
          <w:rFonts w:cstheme="minorHAnsi"/>
          <w:sz w:val="20"/>
          <w:szCs w:val="20"/>
        </w:rPr>
        <w:t>e following training is delivered by the IPCN and IPC Support Worker.</w:t>
      </w:r>
    </w:p>
    <w:p w14:paraId="656702E5" w14:textId="6FCF0DD2" w:rsidR="000512D2" w:rsidRPr="00642242" w:rsidRDefault="0088400B" w:rsidP="00490E4A">
      <w:pPr>
        <w:pStyle w:val="ListParagraph"/>
        <w:rPr>
          <w:rFonts w:cstheme="minorHAnsi"/>
          <w:sz w:val="20"/>
          <w:szCs w:val="20"/>
        </w:rPr>
      </w:pPr>
      <w:r w:rsidRPr="00642242">
        <w:rPr>
          <w:rFonts w:cstheme="minorHAnsi"/>
          <w:sz w:val="20"/>
          <w:szCs w:val="20"/>
        </w:rPr>
        <w:t xml:space="preserve"> </w:t>
      </w:r>
    </w:p>
    <w:p w14:paraId="3BE707F3" w14:textId="1DB36538" w:rsidR="00490E4A" w:rsidRPr="00642242" w:rsidRDefault="00490E4A" w:rsidP="009D6D0B">
      <w:pPr>
        <w:pStyle w:val="ListParagraph"/>
        <w:numPr>
          <w:ilvl w:val="0"/>
          <w:numId w:val="5"/>
        </w:numPr>
        <w:rPr>
          <w:rFonts w:cstheme="minorHAnsi"/>
          <w:sz w:val="20"/>
          <w:szCs w:val="20"/>
        </w:rPr>
      </w:pPr>
      <w:r w:rsidRPr="00642242">
        <w:rPr>
          <w:rFonts w:cstheme="minorHAnsi"/>
          <w:sz w:val="20"/>
          <w:szCs w:val="20"/>
        </w:rPr>
        <w:t xml:space="preserve">Induction training for all clinical and non-clinical staff </w:t>
      </w:r>
      <w:r w:rsidR="00642242" w:rsidRPr="00642242">
        <w:rPr>
          <w:rFonts w:cstheme="minorHAnsi"/>
          <w:sz w:val="20"/>
          <w:szCs w:val="20"/>
        </w:rPr>
        <w:t>and rotational doctors</w:t>
      </w:r>
    </w:p>
    <w:p w14:paraId="3B3B71A7" w14:textId="3D4B9E88" w:rsidR="0088400B" w:rsidRPr="00642242" w:rsidRDefault="0088400B" w:rsidP="009D6D0B">
      <w:pPr>
        <w:pStyle w:val="ListParagraph"/>
        <w:numPr>
          <w:ilvl w:val="0"/>
          <w:numId w:val="5"/>
        </w:numPr>
        <w:rPr>
          <w:rFonts w:cstheme="minorHAnsi"/>
          <w:sz w:val="20"/>
          <w:szCs w:val="20"/>
        </w:rPr>
      </w:pPr>
      <w:r w:rsidRPr="00642242">
        <w:rPr>
          <w:rFonts w:cstheme="minorHAnsi"/>
          <w:sz w:val="20"/>
          <w:szCs w:val="20"/>
        </w:rPr>
        <w:t xml:space="preserve">Hand washing assessments to clinical staff to ensure staff obtain full </w:t>
      </w:r>
      <w:r w:rsidR="00642242" w:rsidRPr="00642242">
        <w:rPr>
          <w:rFonts w:cstheme="minorHAnsi"/>
          <w:sz w:val="20"/>
          <w:szCs w:val="20"/>
        </w:rPr>
        <w:t>h</w:t>
      </w:r>
      <w:r w:rsidRPr="00642242">
        <w:rPr>
          <w:rFonts w:cstheme="minorHAnsi"/>
          <w:sz w:val="20"/>
          <w:szCs w:val="20"/>
        </w:rPr>
        <w:t xml:space="preserve">and </w:t>
      </w:r>
      <w:r w:rsidR="00642242" w:rsidRPr="00642242">
        <w:rPr>
          <w:rFonts w:cstheme="minorHAnsi"/>
          <w:sz w:val="20"/>
          <w:szCs w:val="20"/>
        </w:rPr>
        <w:t>h</w:t>
      </w:r>
      <w:r w:rsidRPr="00642242">
        <w:rPr>
          <w:rFonts w:cstheme="minorHAnsi"/>
          <w:sz w:val="20"/>
          <w:szCs w:val="20"/>
        </w:rPr>
        <w:t xml:space="preserve">ygiene competency. </w:t>
      </w:r>
    </w:p>
    <w:p w14:paraId="3251AE24" w14:textId="0F528F8B" w:rsidR="00002FB9" w:rsidRPr="00D91616" w:rsidRDefault="00490E4A" w:rsidP="00642242">
      <w:pPr>
        <w:pStyle w:val="ListParagraph"/>
        <w:numPr>
          <w:ilvl w:val="0"/>
          <w:numId w:val="5"/>
        </w:numPr>
        <w:rPr>
          <w:rFonts w:cstheme="minorHAnsi"/>
          <w:sz w:val="20"/>
          <w:szCs w:val="20"/>
        </w:rPr>
      </w:pPr>
      <w:r w:rsidRPr="00002FB9">
        <w:rPr>
          <w:rFonts w:cstheme="minorHAnsi"/>
          <w:sz w:val="20"/>
          <w:szCs w:val="20"/>
        </w:rPr>
        <w:t>All volunteers receive a training presentation and hand hygiene education.</w:t>
      </w:r>
    </w:p>
    <w:p w14:paraId="282E5F0F" w14:textId="029279CB" w:rsidR="00002FB9" w:rsidRPr="006262B8" w:rsidRDefault="00642242" w:rsidP="00642242">
      <w:pPr>
        <w:rPr>
          <w:rFonts w:cstheme="minorHAnsi"/>
          <w:sz w:val="20"/>
          <w:szCs w:val="20"/>
        </w:rPr>
      </w:pPr>
      <w:r w:rsidRPr="006262B8">
        <w:rPr>
          <w:rFonts w:cstheme="minorHAnsi"/>
          <w:sz w:val="20"/>
          <w:szCs w:val="20"/>
        </w:rPr>
        <w:t>The IPC team have provided a number</w:t>
      </w:r>
      <w:r w:rsidR="00727B3C" w:rsidRPr="006262B8">
        <w:rPr>
          <w:rFonts w:cstheme="minorHAnsi"/>
          <w:sz w:val="20"/>
          <w:szCs w:val="20"/>
        </w:rPr>
        <w:t xml:space="preserve"> additional</w:t>
      </w:r>
      <w:r w:rsidRPr="006262B8">
        <w:rPr>
          <w:rFonts w:cstheme="minorHAnsi"/>
          <w:sz w:val="20"/>
          <w:szCs w:val="20"/>
        </w:rPr>
        <w:t xml:space="preserve"> of education sessions</w:t>
      </w:r>
      <w:r w:rsidR="00727B3C" w:rsidRPr="006262B8">
        <w:rPr>
          <w:rFonts w:cstheme="minorHAnsi"/>
          <w:sz w:val="20"/>
          <w:szCs w:val="20"/>
        </w:rPr>
        <w:t xml:space="preserve"> throughout th</w:t>
      </w:r>
      <w:r w:rsidR="00E8334F" w:rsidRPr="006262B8">
        <w:rPr>
          <w:rFonts w:cstheme="minorHAnsi"/>
          <w:sz w:val="20"/>
          <w:szCs w:val="20"/>
        </w:rPr>
        <w:t>e</w:t>
      </w:r>
      <w:r w:rsidR="00727B3C" w:rsidRPr="006262B8">
        <w:rPr>
          <w:rFonts w:cstheme="minorHAnsi"/>
          <w:sz w:val="20"/>
          <w:szCs w:val="20"/>
        </w:rPr>
        <w:t xml:space="preserve"> year including:</w:t>
      </w:r>
    </w:p>
    <w:p w14:paraId="78EB1F58" w14:textId="31626E4D" w:rsidR="00642242" w:rsidRPr="006262B8" w:rsidRDefault="00642242" w:rsidP="00642242">
      <w:pPr>
        <w:rPr>
          <w:rFonts w:cstheme="minorHAnsi"/>
          <w:sz w:val="20"/>
          <w:szCs w:val="20"/>
        </w:rPr>
      </w:pPr>
      <w:r w:rsidRPr="006262B8">
        <w:rPr>
          <w:rFonts w:cstheme="minorHAnsi"/>
          <w:b/>
          <w:bCs/>
          <w:sz w:val="20"/>
          <w:szCs w:val="20"/>
        </w:rPr>
        <w:t>Orthopaedic course</w:t>
      </w:r>
      <w:r w:rsidR="00727B3C" w:rsidRPr="006262B8">
        <w:rPr>
          <w:rFonts w:cstheme="minorHAnsi"/>
          <w:sz w:val="20"/>
          <w:szCs w:val="20"/>
        </w:rPr>
        <w:t xml:space="preserve"> – The Orthopaedic/Spinal Injuries course i</w:t>
      </w:r>
      <w:r w:rsidR="00712D05" w:rsidRPr="006262B8">
        <w:rPr>
          <w:rFonts w:cstheme="minorHAnsi"/>
          <w:sz w:val="20"/>
          <w:szCs w:val="20"/>
        </w:rPr>
        <w:t>s delivered</w:t>
      </w:r>
      <w:r w:rsidR="00727B3C" w:rsidRPr="006262B8">
        <w:rPr>
          <w:rFonts w:cstheme="minorHAnsi"/>
          <w:sz w:val="20"/>
          <w:szCs w:val="20"/>
        </w:rPr>
        <w:t xml:space="preserve"> at RJAH through Staffordshire University.  </w:t>
      </w:r>
      <w:r w:rsidR="00712D05" w:rsidRPr="006262B8">
        <w:rPr>
          <w:rFonts w:cstheme="minorHAnsi"/>
          <w:sz w:val="20"/>
          <w:szCs w:val="20"/>
        </w:rPr>
        <w:t>As part of the programme</w:t>
      </w:r>
      <w:r w:rsidR="00727B3C" w:rsidRPr="006262B8">
        <w:rPr>
          <w:rFonts w:cstheme="minorHAnsi"/>
          <w:sz w:val="20"/>
          <w:szCs w:val="20"/>
        </w:rPr>
        <w:t>, the IPCN provides an educational session</w:t>
      </w:r>
      <w:r w:rsidR="00E8334F" w:rsidRPr="006262B8">
        <w:rPr>
          <w:rFonts w:cstheme="minorHAnsi"/>
          <w:sz w:val="20"/>
          <w:szCs w:val="20"/>
        </w:rPr>
        <w:t xml:space="preserve"> for delegates around the importance of practising standard infection control precautions to prevent infection.</w:t>
      </w:r>
      <w:r w:rsidR="00727B3C" w:rsidRPr="006262B8">
        <w:rPr>
          <w:rFonts w:cstheme="minorHAnsi"/>
          <w:sz w:val="20"/>
          <w:szCs w:val="20"/>
        </w:rPr>
        <w:t xml:space="preserve"> </w:t>
      </w:r>
    </w:p>
    <w:p w14:paraId="1D27DB7B" w14:textId="27241BA1" w:rsidR="00642242" w:rsidRPr="006262B8" w:rsidRDefault="00642242" w:rsidP="00642242">
      <w:pPr>
        <w:rPr>
          <w:rFonts w:cstheme="minorHAnsi"/>
          <w:sz w:val="20"/>
          <w:szCs w:val="20"/>
        </w:rPr>
      </w:pPr>
      <w:r w:rsidRPr="006262B8">
        <w:rPr>
          <w:rFonts w:cstheme="minorHAnsi"/>
          <w:b/>
          <w:bCs/>
          <w:sz w:val="20"/>
          <w:szCs w:val="20"/>
        </w:rPr>
        <w:t xml:space="preserve">CPE </w:t>
      </w:r>
      <w:r w:rsidR="00E8334F" w:rsidRPr="006262B8">
        <w:rPr>
          <w:rFonts w:cstheme="minorHAnsi"/>
          <w:b/>
          <w:bCs/>
          <w:sz w:val="20"/>
          <w:szCs w:val="20"/>
        </w:rPr>
        <w:t>staff information leaflet</w:t>
      </w:r>
      <w:r w:rsidR="00E8334F" w:rsidRPr="006262B8">
        <w:rPr>
          <w:rFonts w:cstheme="minorHAnsi"/>
          <w:sz w:val="20"/>
          <w:szCs w:val="20"/>
        </w:rPr>
        <w:t xml:space="preserve"> – The IPCN developed a </w:t>
      </w:r>
      <w:proofErr w:type="spellStart"/>
      <w:r w:rsidR="00E8334F" w:rsidRPr="006262B8">
        <w:rPr>
          <w:rFonts w:cstheme="minorHAnsi"/>
          <w:sz w:val="20"/>
          <w:szCs w:val="20"/>
        </w:rPr>
        <w:t>Carbapenemase</w:t>
      </w:r>
      <w:proofErr w:type="spellEnd"/>
      <w:r w:rsidR="00E8334F" w:rsidRPr="006262B8">
        <w:rPr>
          <w:rFonts w:cstheme="minorHAnsi"/>
          <w:sz w:val="20"/>
          <w:szCs w:val="20"/>
        </w:rPr>
        <w:t xml:space="preserve">-Producing </w:t>
      </w:r>
      <w:proofErr w:type="spellStart"/>
      <w:r w:rsidR="00E8334F" w:rsidRPr="006262B8">
        <w:rPr>
          <w:rFonts w:cstheme="minorHAnsi"/>
          <w:sz w:val="20"/>
          <w:szCs w:val="20"/>
        </w:rPr>
        <w:t>Enterobacteriacae</w:t>
      </w:r>
      <w:proofErr w:type="spellEnd"/>
      <w:r w:rsidR="00E8334F" w:rsidRPr="006262B8">
        <w:rPr>
          <w:rFonts w:cstheme="minorHAnsi"/>
          <w:sz w:val="20"/>
          <w:szCs w:val="20"/>
        </w:rPr>
        <w:t xml:space="preserve"> (CPE) leaflet for staff on the Midlands Centre for Spinal Injuries (MCSI) unit in response to a period of increased incidence.  This has been shared Trust-wide and is located on the Learning &amp; Development Team’s digital displays around the Trust.</w:t>
      </w:r>
    </w:p>
    <w:p w14:paraId="48FDDDC3" w14:textId="278D128F" w:rsidR="00642242" w:rsidRPr="006262B8" w:rsidRDefault="00642242" w:rsidP="00642242">
      <w:pPr>
        <w:rPr>
          <w:rFonts w:cstheme="minorHAnsi"/>
          <w:sz w:val="20"/>
          <w:szCs w:val="20"/>
        </w:rPr>
      </w:pPr>
      <w:r w:rsidRPr="006262B8">
        <w:rPr>
          <w:rFonts w:cstheme="minorHAnsi"/>
          <w:b/>
          <w:bCs/>
          <w:sz w:val="20"/>
          <w:szCs w:val="20"/>
        </w:rPr>
        <w:t>CP</w:t>
      </w:r>
      <w:r w:rsidR="00FD05B2" w:rsidRPr="006262B8">
        <w:rPr>
          <w:rFonts w:cstheme="minorHAnsi"/>
          <w:b/>
          <w:bCs/>
          <w:sz w:val="20"/>
          <w:szCs w:val="20"/>
        </w:rPr>
        <w:t>E</w:t>
      </w:r>
      <w:r w:rsidRPr="006262B8">
        <w:rPr>
          <w:rFonts w:cstheme="minorHAnsi"/>
          <w:b/>
          <w:bCs/>
          <w:sz w:val="20"/>
          <w:szCs w:val="20"/>
        </w:rPr>
        <w:t xml:space="preserve"> education for doctors</w:t>
      </w:r>
      <w:r w:rsidR="00E8334F" w:rsidRPr="006262B8">
        <w:rPr>
          <w:rFonts w:cstheme="minorHAnsi"/>
          <w:sz w:val="20"/>
          <w:szCs w:val="20"/>
        </w:rPr>
        <w:t xml:space="preserve"> – The IPCN and Consultant Microbiologist gave CPE education to the medical workforce on the MCSI unit during the period of increased incidence within the unit.</w:t>
      </w:r>
    </w:p>
    <w:p w14:paraId="7E1EC562" w14:textId="1769487E" w:rsidR="00642242" w:rsidRPr="006262B8" w:rsidRDefault="00FD05B2" w:rsidP="00642242">
      <w:pPr>
        <w:rPr>
          <w:rFonts w:cstheme="minorHAnsi"/>
          <w:sz w:val="20"/>
          <w:szCs w:val="20"/>
        </w:rPr>
      </w:pPr>
      <w:r w:rsidRPr="006262B8">
        <w:rPr>
          <w:rFonts w:cstheme="minorHAnsi"/>
          <w:b/>
          <w:bCs/>
          <w:sz w:val="20"/>
          <w:szCs w:val="20"/>
        </w:rPr>
        <w:t>HCSW training sessions</w:t>
      </w:r>
      <w:r w:rsidR="00E8334F" w:rsidRPr="006262B8">
        <w:rPr>
          <w:rFonts w:cstheme="minorHAnsi"/>
          <w:sz w:val="20"/>
          <w:szCs w:val="20"/>
        </w:rPr>
        <w:t xml:space="preserve"> – The IPCN has delivered several teaching sessions to Healthcare Support Workers </w:t>
      </w:r>
      <w:r w:rsidR="00712D05" w:rsidRPr="006262B8">
        <w:rPr>
          <w:rFonts w:cstheme="minorHAnsi"/>
          <w:sz w:val="20"/>
          <w:szCs w:val="20"/>
        </w:rPr>
        <w:t xml:space="preserve">to aid their </w:t>
      </w:r>
      <w:r w:rsidR="00CE348A" w:rsidRPr="006262B8">
        <w:rPr>
          <w:rFonts w:cstheme="minorHAnsi"/>
          <w:sz w:val="20"/>
          <w:szCs w:val="20"/>
        </w:rPr>
        <w:t xml:space="preserve">understanding around the chain of infection and measures that we practice </w:t>
      </w:r>
      <w:proofErr w:type="gramStart"/>
      <w:r w:rsidR="00CE348A" w:rsidRPr="006262B8">
        <w:rPr>
          <w:rFonts w:cstheme="minorHAnsi"/>
          <w:sz w:val="20"/>
          <w:szCs w:val="20"/>
        </w:rPr>
        <w:t>to ensure</w:t>
      </w:r>
      <w:proofErr w:type="gramEnd"/>
      <w:r w:rsidR="00CE348A" w:rsidRPr="006262B8">
        <w:rPr>
          <w:rFonts w:cstheme="minorHAnsi"/>
          <w:sz w:val="20"/>
          <w:szCs w:val="20"/>
        </w:rPr>
        <w:t xml:space="preserve"> that </w:t>
      </w:r>
      <w:proofErr w:type="spellStart"/>
      <w:r w:rsidR="00CE348A" w:rsidRPr="006262B8">
        <w:rPr>
          <w:rFonts w:cstheme="minorHAnsi"/>
          <w:sz w:val="20"/>
          <w:szCs w:val="20"/>
        </w:rPr>
        <w:t>pateints</w:t>
      </w:r>
      <w:proofErr w:type="spellEnd"/>
      <w:r w:rsidR="00CE348A" w:rsidRPr="006262B8">
        <w:rPr>
          <w:rFonts w:cstheme="minorHAnsi"/>
          <w:sz w:val="20"/>
          <w:szCs w:val="20"/>
        </w:rPr>
        <w:t xml:space="preserve"> are cared for in a clean, safe environment. We have collaborated with the wider System and provide regular teaching sessions for HCSWs outside of the RJAH community. </w:t>
      </w:r>
    </w:p>
    <w:p w14:paraId="1AD58AE5" w14:textId="77777777" w:rsidR="00D91616" w:rsidRDefault="00D91616" w:rsidP="00FD3247">
      <w:pPr>
        <w:rPr>
          <w:b/>
          <w:szCs w:val="24"/>
        </w:rPr>
      </w:pPr>
    </w:p>
    <w:p w14:paraId="47D0CFE9" w14:textId="6D596DC8" w:rsidR="00BC34A5" w:rsidRPr="00FD3247" w:rsidRDefault="00BC34A5" w:rsidP="00FD3247">
      <w:pPr>
        <w:rPr>
          <w:b/>
          <w:szCs w:val="24"/>
        </w:rPr>
      </w:pPr>
      <w:r w:rsidRPr="00FD3247">
        <w:rPr>
          <w:b/>
          <w:szCs w:val="24"/>
        </w:rPr>
        <w:t xml:space="preserve">Criterion 7: Provide or secure adequate isolation </w:t>
      </w:r>
      <w:proofErr w:type="gramStart"/>
      <w:r w:rsidRPr="00FD3247">
        <w:rPr>
          <w:b/>
          <w:szCs w:val="24"/>
        </w:rPr>
        <w:t>facilities</w:t>
      </w:r>
      <w:proofErr w:type="gramEnd"/>
    </w:p>
    <w:p w14:paraId="30C4F6CF" w14:textId="77777777" w:rsidR="00221F55" w:rsidRPr="00CA72F1" w:rsidRDefault="00221F55" w:rsidP="00221F55">
      <w:pPr>
        <w:pStyle w:val="ListParagraph"/>
        <w:rPr>
          <w:sz w:val="22"/>
        </w:rPr>
      </w:pPr>
    </w:p>
    <w:p w14:paraId="6E73C312" w14:textId="50EFB6EA" w:rsidR="004D4A23" w:rsidRPr="006262B8" w:rsidRDefault="00002FB9" w:rsidP="006B469A">
      <w:pPr>
        <w:pStyle w:val="ListParagraph"/>
        <w:rPr>
          <w:sz w:val="20"/>
          <w:szCs w:val="20"/>
        </w:rPr>
      </w:pPr>
      <w:r w:rsidRPr="006262B8">
        <w:rPr>
          <w:sz w:val="20"/>
          <w:szCs w:val="20"/>
        </w:rPr>
        <w:t xml:space="preserve">The Trust has isolation policies in place and has single side room accommodation with </w:t>
      </w:r>
      <w:proofErr w:type="spellStart"/>
      <w:r w:rsidRPr="006262B8">
        <w:rPr>
          <w:sz w:val="20"/>
          <w:szCs w:val="20"/>
        </w:rPr>
        <w:t>en</w:t>
      </w:r>
      <w:proofErr w:type="spellEnd"/>
      <w:r w:rsidRPr="006262B8">
        <w:rPr>
          <w:sz w:val="20"/>
          <w:szCs w:val="20"/>
        </w:rPr>
        <w:t xml:space="preserve">-suite facilities to isolate patients when required. We learned lessons through the COVID-19 pandemic around the ability to cohort patients who were either COVID-19 positive or contacts of a positive patient; and to enable effective cohorting of patients, the Estates team fitted doors to bays around the Trust.  This has improved our ability to provide a safe environment whilst mitigating some risk of cross-infection.    </w:t>
      </w:r>
    </w:p>
    <w:p w14:paraId="74490643" w14:textId="77777777" w:rsidR="00FD3247" w:rsidRPr="006262B8" w:rsidRDefault="00FD3247" w:rsidP="006B469A">
      <w:pPr>
        <w:pStyle w:val="ListParagraph"/>
        <w:rPr>
          <w:sz w:val="20"/>
          <w:szCs w:val="20"/>
        </w:rPr>
      </w:pPr>
    </w:p>
    <w:p w14:paraId="0F77F5F8" w14:textId="694A2DF5" w:rsidR="00FD3247" w:rsidRPr="006262B8" w:rsidRDefault="00FD3247" w:rsidP="006B469A">
      <w:pPr>
        <w:pStyle w:val="ListParagraph"/>
        <w:rPr>
          <w:sz w:val="20"/>
          <w:szCs w:val="20"/>
        </w:rPr>
      </w:pPr>
      <w:r w:rsidRPr="006262B8">
        <w:rPr>
          <w:sz w:val="20"/>
          <w:szCs w:val="20"/>
        </w:rPr>
        <w:t xml:space="preserve">The Trust Isolation Policy includes a risk assessment tool which allows staff to consider individual requirements for isolation to ensure patients are managed on a </w:t>
      </w:r>
      <w:proofErr w:type="gramStart"/>
      <w:r w:rsidRPr="006262B8">
        <w:rPr>
          <w:sz w:val="20"/>
          <w:szCs w:val="20"/>
        </w:rPr>
        <w:t>case by case</w:t>
      </w:r>
      <w:proofErr w:type="gramEnd"/>
      <w:r w:rsidRPr="006262B8">
        <w:rPr>
          <w:sz w:val="20"/>
          <w:szCs w:val="20"/>
        </w:rPr>
        <w:t xml:space="preserve"> basis.  In rare cases where there has been no side room available; the IPC team have assisted the ward area with mitigations dependent upon the organism – this is documented in a risk assessment template and kept in the patient’s notes.</w:t>
      </w:r>
      <w:r w:rsidR="00284DE7" w:rsidRPr="006262B8">
        <w:rPr>
          <w:sz w:val="20"/>
          <w:szCs w:val="20"/>
        </w:rPr>
        <w:t xml:space="preserve"> </w:t>
      </w:r>
      <w:r w:rsidRPr="006262B8">
        <w:rPr>
          <w:sz w:val="20"/>
          <w:szCs w:val="20"/>
        </w:rPr>
        <w:t xml:space="preserve">  </w:t>
      </w:r>
    </w:p>
    <w:p w14:paraId="49D5739D" w14:textId="77777777" w:rsidR="00002FB9" w:rsidRPr="006262B8" w:rsidRDefault="00002FB9" w:rsidP="006B469A">
      <w:pPr>
        <w:pStyle w:val="ListParagraph"/>
        <w:rPr>
          <w:sz w:val="18"/>
          <w:szCs w:val="18"/>
          <w:highlight w:val="cyan"/>
        </w:rPr>
      </w:pPr>
    </w:p>
    <w:p w14:paraId="7D92F53A" w14:textId="77777777" w:rsidR="006B469A" w:rsidRPr="006262B8" w:rsidRDefault="006B469A" w:rsidP="00221F55">
      <w:pPr>
        <w:pStyle w:val="ListParagraph"/>
        <w:rPr>
          <w:sz w:val="20"/>
          <w:szCs w:val="20"/>
        </w:rPr>
      </w:pPr>
    </w:p>
    <w:p w14:paraId="09D69BF3" w14:textId="77777777" w:rsidR="00BC34A5" w:rsidRPr="00FD3247" w:rsidRDefault="00BC34A5" w:rsidP="00FD3247">
      <w:pPr>
        <w:rPr>
          <w:b/>
          <w:sz w:val="26"/>
          <w:szCs w:val="26"/>
        </w:rPr>
      </w:pPr>
      <w:r w:rsidRPr="00FD3247">
        <w:rPr>
          <w:b/>
          <w:szCs w:val="26"/>
        </w:rPr>
        <w:t xml:space="preserve">Criterion 8: </w:t>
      </w:r>
      <w:r w:rsidRPr="00FD3247">
        <w:rPr>
          <w:b/>
        </w:rPr>
        <w:t>Secure adequate access to laboratory support as appropriate.</w:t>
      </w:r>
    </w:p>
    <w:p w14:paraId="0D387FD4" w14:textId="0F071DD9" w:rsidR="006262B8" w:rsidRDefault="00514B78" w:rsidP="0009530F">
      <w:pPr>
        <w:rPr>
          <w:sz w:val="22"/>
        </w:rPr>
      </w:pPr>
      <w:r w:rsidRPr="006262B8">
        <w:rPr>
          <w:sz w:val="20"/>
          <w:szCs w:val="20"/>
        </w:rPr>
        <w:t>The contract for laboratory services is with Shropshire and Telford Hospitals NHS Trust (SaTH) which is fully UKAS (United Kingdom Accreditation Service) compliant under ISO 15189. The ICD is a Consultant Microbiologist at SaTH who is contracted to work at RJAH as a specialist.  Medical microbiology support is provided 24 hours a day, 365 days a year.</w:t>
      </w:r>
    </w:p>
    <w:p w14:paraId="6BF9A529" w14:textId="77777777" w:rsidR="006262B8" w:rsidRPr="00483006" w:rsidRDefault="006262B8" w:rsidP="009854B2">
      <w:pPr>
        <w:pStyle w:val="ListParagraph"/>
        <w:rPr>
          <w:sz w:val="22"/>
        </w:rPr>
      </w:pPr>
    </w:p>
    <w:p w14:paraId="27BE1FB2" w14:textId="77777777" w:rsidR="00BC34A5" w:rsidRPr="00FD3247" w:rsidRDefault="00BC34A5" w:rsidP="00FD3247">
      <w:pPr>
        <w:tabs>
          <w:tab w:val="left" w:pos="709"/>
          <w:tab w:val="left" w:pos="851"/>
        </w:tabs>
        <w:rPr>
          <w:b/>
          <w:szCs w:val="24"/>
        </w:rPr>
      </w:pPr>
      <w:r w:rsidRPr="00FD3247">
        <w:rPr>
          <w:b/>
          <w:szCs w:val="24"/>
        </w:rPr>
        <w:t>Criterion 9: Have and adhere to policies, des</w:t>
      </w:r>
      <w:r w:rsidR="00483006" w:rsidRPr="00FD3247">
        <w:rPr>
          <w:b/>
          <w:szCs w:val="24"/>
        </w:rPr>
        <w:t xml:space="preserve">igned for the individual’s care </w:t>
      </w:r>
      <w:r w:rsidRPr="00FD3247">
        <w:rPr>
          <w:b/>
          <w:szCs w:val="24"/>
        </w:rPr>
        <w:t>and provider organisations that will help to prevent and control infections</w:t>
      </w:r>
    </w:p>
    <w:p w14:paraId="43D2B0DA" w14:textId="77777777" w:rsidR="001D338B" w:rsidRPr="004B7733" w:rsidRDefault="001D338B" w:rsidP="001D338B">
      <w:pPr>
        <w:pStyle w:val="ListParagraph"/>
        <w:rPr>
          <w:sz w:val="22"/>
        </w:rPr>
      </w:pPr>
    </w:p>
    <w:p w14:paraId="5EDC82CF" w14:textId="77777777" w:rsidR="00EF3F3A" w:rsidRPr="00ED3D05" w:rsidRDefault="00EF3F3A" w:rsidP="00EF3F3A">
      <w:pPr>
        <w:pStyle w:val="ListParagraph"/>
        <w:rPr>
          <w:sz w:val="20"/>
          <w:szCs w:val="20"/>
        </w:rPr>
      </w:pPr>
      <w:r w:rsidRPr="00ED3D05">
        <w:rPr>
          <w:sz w:val="20"/>
          <w:szCs w:val="20"/>
        </w:rPr>
        <w:t xml:space="preserve">A review of all IPC policies was </w:t>
      </w:r>
      <w:proofErr w:type="gramStart"/>
      <w:r w:rsidRPr="00ED3D05">
        <w:rPr>
          <w:sz w:val="20"/>
          <w:szCs w:val="20"/>
        </w:rPr>
        <w:t>carry</w:t>
      </w:r>
      <w:proofErr w:type="gramEnd"/>
      <w:r w:rsidRPr="00ED3D05">
        <w:rPr>
          <w:sz w:val="20"/>
          <w:szCs w:val="20"/>
        </w:rPr>
        <w:t xml:space="preserve"> out in January 2023</w:t>
      </w:r>
      <w:r>
        <w:rPr>
          <w:sz w:val="20"/>
          <w:szCs w:val="20"/>
        </w:rPr>
        <w:t>.</w:t>
      </w:r>
      <w:r w:rsidRPr="00ED3D05">
        <w:rPr>
          <w:sz w:val="20"/>
          <w:szCs w:val="20"/>
        </w:rPr>
        <w:t xml:space="preserve"> The </w:t>
      </w:r>
      <w:r>
        <w:rPr>
          <w:sz w:val="20"/>
          <w:szCs w:val="20"/>
        </w:rPr>
        <w:t xml:space="preserve">IPC </w:t>
      </w:r>
      <w:r w:rsidRPr="00ED3D05">
        <w:rPr>
          <w:sz w:val="20"/>
          <w:szCs w:val="20"/>
        </w:rPr>
        <w:t xml:space="preserve">Team will continue to ensure all policies align to the </w:t>
      </w:r>
      <w:r>
        <w:rPr>
          <w:sz w:val="20"/>
          <w:szCs w:val="20"/>
        </w:rPr>
        <w:t>N</w:t>
      </w:r>
      <w:r w:rsidRPr="00ED3D05">
        <w:rPr>
          <w:sz w:val="20"/>
          <w:szCs w:val="20"/>
        </w:rPr>
        <w:t>IPCM and will include the following steps into the IPC programme of works for 23/24:</w:t>
      </w:r>
    </w:p>
    <w:p w14:paraId="4C931691" w14:textId="77777777" w:rsidR="00EF3F3A" w:rsidRPr="00ED3D05" w:rsidRDefault="00EF3F3A" w:rsidP="00EF3F3A">
      <w:pPr>
        <w:pStyle w:val="ListParagraph"/>
        <w:rPr>
          <w:sz w:val="20"/>
          <w:szCs w:val="20"/>
        </w:rPr>
      </w:pPr>
    </w:p>
    <w:p w14:paraId="41D58A93" w14:textId="77777777" w:rsidR="00EF3F3A" w:rsidRPr="00ED3D05" w:rsidRDefault="00EF3F3A" w:rsidP="00EF3F3A">
      <w:pPr>
        <w:pStyle w:val="ListParagraph"/>
        <w:numPr>
          <w:ilvl w:val="0"/>
          <w:numId w:val="33"/>
        </w:numPr>
        <w:rPr>
          <w:sz w:val="20"/>
          <w:szCs w:val="20"/>
        </w:rPr>
      </w:pPr>
      <w:r w:rsidRPr="00ED3D05">
        <w:rPr>
          <w:sz w:val="20"/>
          <w:szCs w:val="20"/>
        </w:rPr>
        <w:t xml:space="preserve">Step 1: Continue to assess and align all IPC Policies to the </w:t>
      </w:r>
      <w:r>
        <w:rPr>
          <w:sz w:val="20"/>
          <w:szCs w:val="20"/>
        </w:rPr>
        <w:t>N</w:t>
      </w:r>
      <w:r w:rsidRPr="00ED3D05">
        <w:rPr>
          <w:sz w:val="20"/>
          <w:szCs w:val="20"/>
        </w:rPr>
        <w:t>IPCM</w:t>
      </w:r>
    </w:p>
    <w:p w14:paraId="3831F156" w14:textId="77777777" w:rsidR="00EF3F3A" w:rsidRDefault="00EF3F3A" w:rsidP="00EF3F3A">
      <w:pPr>
        <w:pStyle w:val="ListParagraph"/>
        <w:numPr>
          <w:ilvl w:val="0"/>
          <w:numId w:val="33"/>
        </w:numPr>
        <w:rPr>
          <w:sz w:val="20"/>
          <w:szCs w:val="20"/>
        </w:rPr>
      </w:pPr>
      <w:r w:rsidRPr="00ED3D05">
        <w:rPr>
          <w:sz w:val="20"/>
          <w:szCs w:val="20"/>
        </w:rPr>
        <w:t xml:space="preserve">Step 2: Align Quality Assurance Walks question sets to the </w:t>
      </w:r>
      <w:r>
        <w:rPr>
          <w:sz w:val="20"/>
          <w:szCs w:val="20"/>
        </w:rPr>
        <w:t>N</w:t>
      </w:r>
      <w:r w:rsidRPr="00ED3D05">
        <w:rPr>
          <w:sz w:val="20"/>
          <w:szCs w:val="20"/>
        </w:rPr>
        <w:t>IPCM to provide a robust and regular monitoring system to the effectiveness of IPC audits</w:t>
      </w:r>
      <w:r>
        <w:rPr>
          <w:sz w:val="20"/>
          <w:szCs w:val="20"/>
        </w:rPr>
        <w:t xml:space="preserve"> </w:t>
      </w:r>
      <w:proofErr w:type="spellStart"/>
      <w:r w:rsidRPr="00ED3D05">
        <w:rPr>
          <w:sz w:val="20"/>
          <w:szCs w:val="20"/>
        </w:rPr>
        <w:t>Trustwide</w:t>
      </w:r>
      <w:proofErr w:type="spellEnd"/>
      <w:r w:rsidRPr="00ED3D05">
        <w:rPr>
          <w:sz w:val="20"/>
          <w:szCs w:val="20"/>
        </w:rPr>
        <w:t xml:space="preserve">. </w:t>
      </w:r>
    </w:p>
    <w:p w14:paraId="5268EF9D" w14:textId="77777777" w:rsidR="00A62D04" w:rsidRPr="003C50E1" w:rsidRDefault="00A62D04" w:rsidP="001D338B">
      <w:pPr>
        <w:pStyle w:val="ListParagraph"/>
        <w:rPr>
          <w:sz w:val="22"/>
          <w:szCs w:val="26"/>
        </w:rPr>
      </w:pPr>
    </w:p>
    <w:tbl>
      <w:tblPr>
        <w:tblStyle w:val="LightList-Accent1"/>
        <w:tblW w:w="9923" w:type="dxa"/>
        <w:jc w:val="center"/>
        <w:tblLook w:val="04A0" w:firstRow="1" w:lastRow="0" w:firstColumn="1" w:lastColumn="0" w:noHBand="0" w:noVBand="1"/>
      </w:tblPr>
      <w:tblGrid>
        <w:gridCol w:w="5093"/>
        <w:gridCol w:w="4830"/>
      </w:tblGrid>
      <w:tr w:rsidR="00CC1FE9" w:rsidRPr="003C50E1" w14:paraId="5D7B9306" w14:textId="77777777" w:rsidTr="003850E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923" w:type="dxa"/>
            <w:gridSpan w:val="2"/>
            <w:tcBorders>
              <w:bottom w:val="single" w:sz="4" w:space="0" w:color="auto"/>
            </w:tcBorders>
            <w:noWrap/>
            <w:vAlign w:val="center"/>
            <w:hideMark/>
          </w:tcPr>
          <w:p w14:paraId="1EBD4137" w14:textId="24EFCC74" w:rsidR="00CC1FE9" w:rsidRPr="003C50E1" w:rsidRDefault="00DA05E0" w:rsidP="001879DD">
            <w:pPr>
              <w:spacing w:before="0"/>
              <w:rPr>
                <w:rFonts w:eastAsia="Times New Roman" w:cs="Arial"/>
                <w:color w:val="auto"/>
                <w:sz w:val="22"/>
                <w:lang w:eastAsia="en-GB"/>
              </w:rPr>
            </w:pPr>
            <w:r w:rsidRPr="003850E1">
              <w:rPr>
                <w:rFonts w:eastAsia="Times New Roman" w:cs="Arial"/>
                <w:sz w:val="22"/>
                <w:lang w:eastAsia="en-GB"/>
              </w:rPr>
              <w:t>Policies Reviewed</w:t>
            </w:r>
            <w:r w:rsidR="007A7C62" w:rsidRPr="003850E1">
              <w:rPr>
                <w:rFonts w:eastAsia="Times New Roman" w:cs="Arial"/>
                <w:sz w:val="22"/>
                <w:lang w:eastAsia="en-GB"/>
              </w:rPr>
              <w:t>/</w:t>
            </w:r>
            <w:r w:rsidR="001F7930" w:rsidRPr="003850E1">
              <w:rPr>
                <w:rFonts w:eastAsia="Times New Roman" w:cs="Arial"/>
                <w:sz w:val="22"/>
                <w:lang w:eastAsia="en-GB"/>
              </w:rPr>
              <w:t>Published</w:t>
            </w:r>
            <w:r w:rsidR="006653E9" w:rsidRPr="003850E1">
              <w:rPr>
                <w:rFonts w:eastAsia="Times New Roman" w:cs="Arial"/>
                <w:sz w:val="22"/>
                <w:lang w:eastAsia="en-GB"/>
              </w:rPr>
              <w:t xml:space="preserve"> in 202</w:t>
            </w:r>
            <w:r w:rsidR="005F5E72">
              <w:rPr>
                <w:rFonts w:eastAsia="Times New Roman" w:cs="Arial"/>
                <w:sz w:val="22"/>
                <w:lang w:eastAsia="en-GB"/>
              </w:rPr>
              <w:t>2</w:t>
            </w:r>
            <w:r w:rsidR="006653E9" w:rsidRPr="003850E1">
              <w:rPr>
                <w:rFonts w:eastAsia="Times New Roman" w:cs="Arial"/>
                <w:sz w:val="22"/>
                <w:lang w:eastAsia="en-GB"/>
              </w:rPr>
              <w:t>- 2</w:t>
            </w:r>
            <w:r w:rsidR="005F5E72">
              <w:rPr>
                <w:rFonts w:eastAsia="Times New Roman" w:cs="Arial"/>
                <w:sz w:val="22"/>
                <w:lang w:eastAsia="en-GB"/>
              </w:rPr>
              <w:t>3</w:t>
            </w:r>
          </w:p>
        </w:tc>
      </w:tr>
      <w:tr w:rsidR="00EC72F1" w:rsidRPr="00D655FB" w14:paraId="6E40B49D" w14:textId="77777777" w:rsidTr="003850E1">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5093" w:type="dxa"/>
            <w:tcBorders>
              <w:top w:val="single" w:sz="4" w:space="0" w:color="auto"/>
              <w:left w:val="single" w:sz="4" w:space="0" w:color="auto"/>
              <w:bottom w:val="single" w:sz="4" w:space="0" w:color="auto"/>
              <w:right w:val="single" w:sz="4" w:space="0" w:color="auto"/>
            </w:tcBorders>
            <w:noWrap/>
            <w:vAlign w:val="center"/>
          </w:tcPr>
          <w:p w14:paraId="4D160311" w14:textId="0C776336" w:rsidR="00EC72F1" w:rsidRPr="00D655FB" w:rsidRDefault="005F5E72" w:rsidP="007A7C62">
            <w:pPr>
              <w:spacing w:before="0"/>
              <w:rPr>
                <w:rFonts w:eastAsia="Times New Roman" w:cs="Arial"/>
                <w:b w:val="0"/>
                <w:sz w:val="20"/>
                <w:szCs w:val="20"/>
                <w:lang w:eastAsia="en-GB"/>
              </w:rPr>
            </w:pPr>
            <w:r>
              <w:rPr>
                <w:rFonts w:eastAsia="Times New Roman" w:cs="Arial"/>
                <w:b w:val="0"/>
                <w:sz w:val="20"/>
                <w:szCs w:val="20"/>
                <w:lang w:eastAsia="en-GB"/>
              </w:rPr>
              <w:t xml:space="preserve">Cleaning &amp; Decontamination Policy </w:t>
            </w:r>
          </w:p>
        </w:tc>
        <w:tc>
          <w:tcPr>
            <w:tcW w:w="4830" w:type="dxa"/>
            <w:tcBorders>
              <w:top w:val="single" w:sz="4" w:space="0" w:color="auto"/>
              <w:left w:val="single" w:sz="4" w:space="0" w:color="auto"/>
              <w:bottom w:val="single" w:sz="4" w:space="0" w:color="auto"/>
              <w:right w:val="single" w:sz="4" w:space="0" w:color="auto"/>
            </w:tcBorders>
            <w:noWrap/>
            <w:vAlign w:val="center"/>
          </w:tcPr>
          <w:p w14:paraId="3DF800BA" w14:textId="4163F165" w:rsidR="00EC72F1" w:rsidRPr="00D655FB" w:rsidRDefault="009164E9" w:rsidP="007A7C62">
            <w:pPr>
              <w:spacing w:befor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GB"/>
              </w:rPr>
            </w:pPr>
            <w:r>
              <w:rPr>
                <w:rFonts w:eastAsia="Times New Roman" w:cs="Arial"/>
                <w:sz w:val="20"/>
                <w:szCs w:val="20"/>
                <w:lang w:eastAsia="en-GB"/>
              </w:rPr>
              <w:t xml:space="preserve">Infection Prevention &amp; Control Policy </w:t>
            </w:r>
          </w:p>
        </w:tc>
      </w:tr>
      <w:tr w:rsidR="00EC72F1" w:rsidRPr="00D655FB" w14:paraId="12D6AC12" w14:textId="77777777" w:rsidTr="003850E1">
        <w:trPr>
          <w:trHeight w:val="595"/>
          <w:jc w:val="center"/>
        </w:trPr>
        <w:tc>
          <w:tcPr>
            <w:cnfStyle w:val="001000000000" w:firstRow="0" w:lastRow="0" w:firstColumn="1" w:lastColumn="0" w:oddVBand="0" w:evenVBand="0" w:oddHBand="0" w:evenHBand="0" w:firstRowFirstColumn="0" w:firstRowLastColumn="0" w:lastRowFirstColumn="0" w:lastRowLastColumn="0"/>
            <w:tcW w:w="5093" w:type="dxa"/>
            <w:tcBorders>
              <w:top w:val="single" w:sz="4" w:space="0" w:color="auto"/>
              <w:left w:val="single" w:sz="4" w:space="0" w:color="auto"/>
              <w:bottom w:val="single" w:sz="4" w:space="0" w:color="auto"/>
              <w:right w:val="single" w:sz="4" w:space="0" w:color="auto"/>
            </w:tcBorders>
            <w:noWrap/>
            <w:vAlign w:val="center"/>
          </w:tcPr>
          <w:p w14:paraId="00452C78" w14:textId="5CC8E845" w:rsidR="00435C47" w:rsidRPr="00D655FB" w:rsidRDefault="005F5E72" w:rsidP="007A7C62">
            <w:pPr>
              <w:spacing w:before="0" w:after="200" w:line="276" w:lineRule="auto"/>
              <w:contextualSpacing/>
              <w:rPr>
                <w:rFonts w:cs="Arial"/>
                <w:b w:val="0"/>
                <w:sz w:val="20"/>
                <w:szCs w:val="20"/>
              </w:rPr>
            </w:pPr>
            <w:r>
              <w:rPr>
                <w:rFonts w:cs="Arial"/>
                <w:b w:val="0"/>
                <w:sz w:val="20"/>
                <w:szCs w:val="20"/>
              </w:rPr>
              <w:t>MRSA Policy</w:t>
            </w:r>
          </w:p>
        </w:tc>
        <w:tc>
          <w:tcPr>
            <w:tcW w:w="4830" w:type="dxa"/>
            <w:tcBorders>
              <w:top w:val="single" w:sz="4" w:space="0" w:color="auto"/>
              <w:left w:val="single" w:sz="4" w:space="0" w:color="auto"/>
              <w:bottom w:val="single" w:sz="4" w:space="0" w:color="auto"/>
              <w:right w:val="single" w:sz="4" w:space="0" w:color="auto"/>
            </w:tcBorders>
            <w:noWrap/>
            <w:vAlign w:val="center"/>
          </w:tcPr>
          <w:p w14:paraId="1BBBE897" w14:textId="1BE3331F" w:rsidR="00435C47" w:rsidRPr="00D655FB" w:rsidRDefault="009164E9" w:rsidP="007A7C62">
            <w:pPr>
              <w:spacing w:before="0" w:after="200" w:line="276" w:lineRule="auto"/>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Influenza Policy</w:t>
            </w:r>
          </w:p>
        </w:tc>
      </w:tr>
      <w:tr w:rsidR="00490E4A" w:rsidRPr="00D655FB" w14:paraId="2381FE0D" w14:textId="77777777" w:rsidTr="003850E1">
        <w:trPr>
          <w:cnfStyle w:val="000000100000" w:firstRow="0" w:lastRow="0" w:firstColumn="0" w:lastColumn="0" w:oddVBand="0" w:evenVBand="0" w:oddHBand="1" w:evenHBand="0" w:firstRowFirstColumn="0" w:firstRowLastColumn="0" w:lastRowFirstColumn="0" w:lastRowLastColumn="0"/>
          <w:trHeight w:val="521"/>
          <w:jc w:val="center"/>
        </w:trPr>
        <w:tc>
          <w:tcPr>
            <w:cnfStyle w:val="001000000000" w:firstRow="0" w:lastRow="0" w:firstColumn="1" w:lastColumn="0" w:oddVBand="0" w:evenVBand="0" w:oddHBand="0" w:evenHBand="0" w:firstRowFirstColumn="0" w:firstRowLastColumn="0" w:lastRowFirstColumn="0" w:lastRowLastColumn="0"/>
            <w:tcW w:w="5093" w:type="dxa"/>
            <w:tcBorders>
              <w:top w:val="single" w:sz="4" w:space="0" w:color="auto"/>
              <w:left w:val="single" w:sz="4" w:space="0" w:color="auto"/>
              <w:bottom w:val="single" w:sz="4" w:space="0" w:color="auto"/>
              <w:right w:val="single" w:sz="4" w:space="0" w:color="auto"/>
            </w:tcBorders>
            <w:noWrap/>
            <w:vAlign w:val="center"/>
          </w:tcPr>
          <w:p w14:paraId="53EDE9A7" w14:textId="618B86B6" w:rsidR="00490E4A" w:rsidRPr="00D655FB" w:rsidRDefault="005F5E72" w:rsidP="007A7C62">
            <w:pPr>
              <w:spacing w:before="0" w:after="200" w:line="276" w:lineRule="auto"/>
              <w:contextualSpacing/>
              <w:rPr>
                <w:rFonts w:cs="Arial"/>
                <w:b w:val="0"/>
                <w:sz w:val="20"/>
                <w:szCs w:val="20"/>
              </w:rPr>
            </w:pPr>
            <w:r>
              <w:rPr>
                <w:rFonts w:cs="Arial"/>
                <w:b w:val="0"/>
                <w:sz w:val="20"/>
                <w:szCs w:val="20"/>
              </w:rPr>
              <w:t>Surgical Site Infection Policy</w:t>
            </w:r>
          </w:p>
        </w:tc>
        <w:tc>
          <w:tcPr>
            <w:tcW w:w="4830" w:type="dxa"/>
            <w:tcBorders>
              <w:top w:val="single" w:sz="4" w:space="0" w:color="auto"/>
              <w:left w:val="single" w:sz="4" w:space="0" w:color="auto"/>
              <w:bottom w:val="single" w:sz="4" w:space="0" w:color="auto"/>
              <w:right w:val="single" w:sz="4" w:space="0" w:color="auto"/>
            </w:tcBorders>
            <w:noWrap/>
            <w:vAlign w:val="center"/>
          </w:tcPr>
          <w:p w14:paraId="7780CE94" w14:textId="1C73F990" w:rsidR="00490E4A" w:rsidRPr="00D655FB" w:rsidRDefault="009164E9" w:rsidP="007A7C62">
            <w:pPr>
              <w:spacing w:before="0"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Tuberculosis Policy</w:t>
            </w:r>
          </w:p>
        </w:tc>
      </w:tr>
      <w:tr w:rsidR="003850E1" w:rsidRPr="00D655FB" w14:paraId="12011AE6" w14:textId="77777777" w:rsidTr="003850E1">
        <w:trPr>
          <w:trHeight w:val="521"/>
          <w:jc w:val="center"/>
        </w:trPr>
        <w:tc>
          <w:tcPr>
            <w:cnfStyle w:val="001000000000" w:firstRow="0" w:lastRow="0" w:firstColumn="1" w:lastColumn="0" w:oddVBand="0" w:evenVBand="0" w:oddHBand="0" w:evenHBand="0" w:firstRowFirstColumn="0" w:firstRowLastColumn="0" w:lastRowFirstColumn="0" w:lastRowLastColumn="0"/>
            <w:tcW w:w="5093" w:type="dxa"/>
            <w:tcBorders>
              <w:top w:val="single" w:sz="4" w:space="0" w:color="auto"/>
              <w:left w:val="single" w:sz="4" w:space="0" w:color="auto"/>
              <w:bottom w:val="single" w:sz="4" w:space="0" w:color="auto"/>
              <w:right w:val="single" w:sz="4" w:space="0" w:color="auto"/>
            </w:tcBorders>
            <w:noWrap/>
            <w:vAlign w:val="center"/>
          </w:tcPr>
          <w:p w14:paraId="30528B1D" w14:textId="7EBA5E8A" w:rsidR="003850E1" w:rsidRPr="005F5E72" w:rsidRDefault="005F5E72" w:rsidP="007A7C62">
            <w:pPr>
              <w:spacing w:before="0" w:after="200" w:line="276" w:lineRule="auto"/>
              <w:contextualSpacing/>
              <w:rPr>
                <w:rFonts w:cs="Arial"/>
                <w:b w:val="0"/>
                <w:bCs w:val="0"/>
                <w:sz w:val="20"/>
                <w:szCs w:val="20"/>
              </w:rPr>
            </w:pPr>
            <w:r w:rsidRPr="005F5E72">
              <w:rPr>
                <w:rFonts w:cs="Arial"/>
                <w:b w:val="0"/>
                <w:bCs w:val="0"/>
                <w:sz w:val="20"/>
                <w:szCs w:val="20"/>
              </w:rPr>
              <w:t xml:space="preserve">Isolation Policy </w:t>
            </w:r>
          </w:p>
        </w:tc>
        <w:tc>
          <w:tcPr>
            <w:tcW w:w="4830" w:type="dxa"/>
            <w:tcBorders>
              <w:top w:val="single" w:sz="4" w:space="0" w:color="auto"/>
              <w:left w:val="single" w:sz="4" w:space="0" w:color="auto"/>
              <w:bottom w:val="single" w:sz="4" w:space="0" w:color="auto"/>
              <w:right w:val="single" w:sz="4" w:space="0" w:color="auto"/>
            </w:tcBorders>
            <w:noWrap/>
            <w:vAlign w:val="center"/>
          </w:tcPr>
          <w:p w14:paraId="69AFA2B0" w14:textId="773BB7BA" w:rsidR="003850E1" w:rsidRDefault="009164E9" w:rsidP="007A7C62">
            <w:pPr>
              <w:spacing w:before="0" w:after="200" w:line="276" w:lineRule="auto"/>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Management of Sharps Injuries and Exposure to Blood </w:t>
            </w:r>
            <w:proofErr w:type="spellStart"/>
            <w:r>
              <w:rPr>
                <w:rFonts w:cs="Arial"/>
                <w:sz w:val="20"/>
                <w:szCs w:val="20"/>
              </w:rPr>
              <w:t>Bourne</w:t>
            </w:r>
            <w:proofErr w:type="spellEnd"/>
            <w:r>
              <w:rPr>
                <w:rFonts w:cs="Arial"/>
                <w:sz w:val="20"/>
                <w:szCs w:val="20"/>
              </w:rPr>
              <w:t xml:space="preserve"> Virus Policy</w:t>
            </w:r>
          </w:p>
        </w:tc>
      </w:tr>
      <w:tr w:rsidR="003850E1" w:rsidRPr="00D655FB" w14:paraId="17A4CFF2" w14:textId="77777777" w:rsidTr="003850E1">
        <w:trPr>
          <w:cnfStyle w:val="000000100000" w:firstRow="0" w:lastRow="0" w:firstColumn="0" w:lastColumn="0" w:oddVBand="0" w:evenVBand="0" w:oddHBand="1" w:evenHBand="0" w:firstRowFirstColumn="0" w:firstRowLastColumn="0" w:lastRowFirstColumn="0" w:lastRowLastColumn="0"/>
          <w:trHeight w:val="521"/>
          <w:jc w:val="center"/>
        </w:trPr>
        <w:tc>
          <w:tcPr>
            <w:cnfStyle w:val="001000000000" w:firstRow="0" w:lastRow="0" w:firstColumn="1" w:lastColumn="0" w:oddVBand="0" w:evenVBand="0" w:oddHBand="0" w:evenHBand="0" w:firstRowFirstColumn="0" w:firstRowLastColumn="0" w:lastRowFirstColumn="0" w:lastRowLastColumn="0"/>
            <w:tcW w:w="5093" w:type="dxa"/>
            <w:tcBorders>
              <w:top w:val="single" w:sz="4" w:space="0" w:color="auto"/>
              <w:left w:val="single" w:sz="4" w:space="0" w:color="auto"/>
              <w:bottom w:val="single" w:sz="4" w:space="0" w:color="auto"/>
              <w:right w:val="single" w:sz="4" w:space="0" w:color="auto"/>
            </w:tcBorders>
            <w:noWrap/>
            <w:vAlign w:val="center"/>
          </w:tcPr>
          <w:p w14:paraId="58D1F709" w14:textId="33A19AD7" w:rsidR="003850E1" w:rsidRPr="009164E9" w:rsidRDefault="005F5E72" w:rsidP="007A7C62">
            <w:pPr>
              <w:spacing w:before="0" w:after="200" w:line="276" w:lineRule="auto"/>
              <w:contextualSpacing/>
              <w:rPr>
                <w:rFonts w:cs="Arial"/>
                <w:b w:val="0"/>
                <w:bCs w:val="0"/>
                <w:sz w:val="20"/>
                <w:szCs w:val="20"/>
              </w:rPr>
            </w:pPr>
            <w:r w:rsidRPr="009164E9">
              <w:rPr>
                <w:rFonts w:cs="Arial"/>
                <w:b w:val="0"/>
                <w:bCs w:val="0"/>
                <w:sz w:val="20"/>
                <w:szCs w:val="20"/>
              </w:rPr>
              <w:t>Hand Hygiene &amp; Personal Protective Equipment</w:t>
            </w:r>
          </w:p>
        </w:tc>
        <w:tc>
          <w:tcPr>
            <w:tcW w:w="4830" w:type="dxa"/>
            <w:tcBorders>
              <w:top w:val="single" w:sz="4" w:space="0" w:color="auto"/>
              <w:left w:val="single" w:sz="4" w:space="0" w:color="auto"/>
              <w:bottom w:val="single" w:sz="4" w:space="0" w:color="auto"/>
              <w:right w:val="single" w:sz="4" w:space="0" w:color="auto"/>
            </w:tcBorders>
            <w:noWrap/>
            <w:vAlign w:val="center"/>
          </w:tcPr>
          <w:p w14:paraId="09FF0664" w14:textId="1CFFC1A5" w:rsidR="003850E1" w:rsidRDefault="009164E9" w:rsidP="007A7C62">
            <w:pPr>
              <w:spacing w:before="0"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r w:rsidRPr="009164E9">
              <w:rPr>
                <w:rFonts w:cs="Arial"/>
                <w:sz w:val="20"/>
                <w:szCs w:val="20"/>
              </w:rPr>
              <w:t>Carbapenemase Producing Enterobacteriaceae (CPE)</w:t>
            </w:r>
          </w:p>
        </w:tc>
      </w:tr>
      <w:tr w:rsidR="003850E1" w:rsidRPr="00D655FB" w14:paraId="71B1E7C0" w14:textId="77777777" w:rsidTr="003850E1">
        <w:trPr>
          <w:trHeight w:val="521"/>
          <w:jc w:val="center"/>
        </w:trPr>
        <w:tc>
          <w:tcPr>
            <w:cnfStyle w:val="001000000000" w:firstRow="0" w:lastRow="0" w:firstColumn="1" w:lastColumn="0" w:oddVBand="0" w:evenVBand="0" w:oddHBand="0" w:evenHBand="0" w:firstRowFirstColumn="0" w:firstRowLastColumn="0" w:lastRowFirstColumn="0" w:lastRowLastColumn="0"/>
            <w:tcW w:w="5093" w:type="dxa"/>
            <w:tcBorders>
              <w:top w:val="single" w:sz="4" w:space="0" w:color="auto"/>
              <w:left w:val="single" w:sz="4" w:space="0" w:color="auto"/>
              <w:bottom w:val="single" w:sz="4" w:space="0" w:color="auto"/>
              <w:right w:val="single" w:sz="4" w:space="0" w:color="auto"/>
            </w:tcBorders>
            <w:noWrap/>
            <w:vAlign w:val="center"/>
          </w:tcPr>
          <w:p w14:paraId="4B6BDFAC" w14:textId="06331E2F" w:rsidR="003850E1" w:rsidRPr="009164E9" w:rsidRDefault="005F5E72" w:rsidP="007A7C62">
            <w:pPr>
              <w:spacing w:before="0" w:after="200" w:line="276" w:lineRule="auto"/>
              <w:contextualSpacing/>
              <w:rPr>
                <w:rFonts w:cs="Arial"/>
                <w:b w:val="0"/>
                <w:bCs w:val="0"/>
                <w:sz w:val="20"/>
                <w:szCs w:val="20"/>
              </w:rPr>
            </w:pPr>
            <w:r w:rsidRPr="009164E9">
              <w:rPr>
                <w:rFonts w:cs="Arial"/>
                <w:b w:val="0"/>
                <w:bCs w:val="0"/>
                <w:sz w:val="20"/>
                <w:szCs w:val="20"/>
              </w:rPr>
              <w:t>Coronavirus /Seasonal Respiratory Policy</w:t>
            </w:r>
          </w:p>
        </w:tc>
        <w:tc>
          <w:tcPr>
            <w:tcW w:w="4830" w:type="dxa"/>
            <w:tcBorders>
              <w:top w:val="single" w:sz="4" w:space="0" w:color="auto"/>
              <w:left w:val="single" w:sz="4" w:space="0" w:color="auto"/>
              <w:bottom w:val="single" w:sz="4" w:space="0" w:color="auto"/>
              <w:right w:val="single" w:sz="4" w:space="0" w:color="auto"/>
            </w:tcBorders>
            <w:noWrap/>
            <w:vAlign w:val="center"/>
          </w:tcPr>
          <w:p w14:paraId="0470AD38" w14:textId="4EF81B11" w:rsidR="003850E1" w:rsidRDefault="009164E9" w:rsidP="007A7C62">
            <w:pPr>
              <w:spacing w:before="0" w:after="200" w:line="276" w:lineRule="auto"/>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9164E9">
              <w:rPr>
                <w:rFonts w:cs="Arial"/>
                <w:sz w:val="20"/>
                <w:szCs w:val="20"/>
              </w:rPr>
              <w:t xml:space="preserve">Multiply Resistant </w:t>
            </w:r>
            <w:proofErr w:type="gramStart"/>
            <w:r w:rsidRPr="009164E9">
              <w:rPr>
                <w:rFonts w:cs="Arial"/>
                <w:sz w:val="20"/>
                <w:szCs w:val="20"/>
              </w:rPr>
              <w:t>Gram Negative</w:t>
            </w:r>
            <w:proofErr w:type="gramEnd"/>
            <w:r w:rsidRPr="009164E9">
              <w:rPr>
                <w:rFonts w:cs="Arial"/>
                <w:sz w:val="20"/>
                <w:szCs w:val="20"/>
              </w:rPr>
              <w:t xml:space="preserve"> Organisms</w:t>
            </w:r>
          </w:p>
        </w:tc>
      </w:tr>
      <w:tr w:rsidR="003850E1" w:rsidRPr="00D655FB" w14:paraId="65142487" w14:textId="77777777" w:rsidTr="003850E1">
        <w:trPr>
          <w:cnfStyle w:val="000000100000" w:firstRow="0" w:lastRow="0" w:firstColumn="0" w:lastColumn="0" w:oddVBand="0" w:evenVBand="0" w:oddHBand="1" w:evenHBand="0" w:firstRowFirstColumn="0" w:firstRowLastColumn="0" w:lastRowFirstColumn="0" w:lastRowLastColumn="0"/>
          <w:trHeight w:val="521"/>
          <w:jc w:val="center"/>
        </w:trPr>
        <w:tc>
          <w:tcPr>
            <w:cnfStyle w:val="001000000000" w:firstRow="0" w:lastRow="0" w:firstColumn="1" w:lastColumn="0" w:oddVBand="0" w:evenVBand="0" w:oddHBand="0" w:evenHBand="0" w:firstRowFirstColumn="0" w:firstRowLastColumn="0" w:lastRowFirstColumn="0" w:lastRowLastColumn="0"/>
            <w:tcW w:w="5093" w:type="dxa"/>
            <w:tcBorders>
              <w:top w:val="single" w:sz="4" w:space="0" w:color="auto"/>
              <w:left w:val="single" w:sz="4" w:space="0" w:color="auto"/>
              <w:bottom w:val="single" w:sz="4" w:space="0" w:color="auto"/>
              <w:right w:val="single" w:sz="4" w:space="0" w:color="auto"/>
            </w:tcBorders>
            <w:noWrap/>
            <w:vAlign w:val="center"/>
          </w:tcPr>
          <w:p w14:paraId="46FC0F87" w14:textId="33338A5A" w:rsidR="003850E1" w:rsidRPr="009164E9" w:rsidRDefault="009164E9" w:rsidP="007A7C62">
            <w:pPr>
              <w:spacing w:before="0" w:after="200" w:line="276" w:lineRule="auto"/>
              <w:contextualSpacing/>
              <w:rPr>
                <w:rFonts w:cs="Arial"/>
                <w:b w:val="0"/>
                <w:bCs w:val="0"/>
                <w:sz w:val="20"/>
                <w:szCs w:val="20"/>
              </w:rPr>
            </w:pPr>
            <w:r w:rsidRPr="009164E9">
              <w:rPr>
                <w:rFonts w:cs="Arial"/>
                <w:b w:val="0"/>
                <w:bCs w:val="0"/>
                <w:sz w:val="20"/>
                <w:szCs w:val="20"/>
              </w:rPr>
              <w:t>Legionella Policy</w:t>
            </w:r>
          </w:p>
        </w:tc>
        <w:tc>
          <w:tcPr>
            <w:tcW w:w="4830" w:type="dxa"/>
            <w:tcBorders>
              <w:top w:val="single" w:sz="4" w:space="0" w:color="auto"/>
              <w:left w:val="single" w:sz="4" w:space="0" w:color="auto"/>
              <w:bottom w:val="single" w:sz="4" w:space="0" w:color="auto"/>
              <w:right w:val="single" w:sz="4" w:space="0" w:color="auto"/>
            </w:tcBorders>
            <w:noWrap/>
            <w:vAlign w:val="center"/>
          </w:tcPr>
          <w:p w14:paraId="4EEC94C5" w14:textId="4F08B837" w:rsidR="003850E1" w:rsidRDefault="009164E9" w:rsidP="007A7C62">
            <w:pPr>
              <w:spacing w:before="0" w:after="200" w:line="276" w:lineRule="auto"/>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r w:rsidRPr="009164E9">
              <w:rPr>
                <w:rFonts w:cs="Arial"/>
                <w:sz w:val="20"/>
                <w:szCs w:val="20"/>
              </w:rPr>
              <w:t>Streptococcal Infections</w:t>
            </w:r>
          </w:p>
        </w:tc>
      </w:tr>
      <w:tr w:rsidR="003850E1" w:rsidRPr="00D655FB" w14:paraId="41EC6729" w14:textId="77777777" w:rsidTr="003850E1">
        <w:trPr>
          <w:trHeight w:val="521"/>
          <w:jc w:val="center"/>
        </w:trPr>
        <w:tc>
          <w:tcPr>
            <w:cnfStyle w:val="001000000000" w:firstRow="0" w:lastRow="0" w:firstColumn="1" w:lastColumn="0" w:oddVBand="0" w:evenVBand="0" w:oddHBand="0" w:evenHBand="0" w:firstRowFirstColumn="0" w:firstRowLastColumn="0" w:lastRowFirstColumn="0" w:lastRowLastColumn="0"/>
            <w:tcW w:w="5093" w:type="dxa"/>
            <w:tcBorders>
              <w:top w:val="single" w:sz="4" w:space="0" w:color="auto"/>
              <w:left w:val="single" w:sz="4" w:space="0" w:color="auto"/>
              <w:bottom w:val="single" w:sz="4" w:space="0" w:color="auto"/>
              <w:right w:val="single" w:sz="4" w:space="0" w:color="auto"/>
            </w:tcBorders>
            <w:noWrap/>
            <w:vAlign w:val="center"/>
          </w:tcPr>
          <w:p w14:paraId="767ACB22" w14:textId="07BE2DD6" w:rsidR="003850E1" w:rsidRPr="009164E9" w:rsidRDefault="009164E9" w:rsidP="007A7C62">
            <w:pPr>
              <w:spacing w:before="0" w:after="200" w:line="276" w:lineRule="auto"/>
              <w:contextualSpacing/>
              <w:rPr>
                <w:rFonts w:cs="Arial"/>
                <w:b w:val="0"/>
                <w:bCs w:val="0"/>
                <w:sz w:val="20"/>
                <w:szCs w:val="20"/>
              </w:rPr>
            </w:pPr>
            <w:r w:rsidRPr="009164E9">
              <w:rPr>
                <w:rFonts w:cs="Arial"/>
                <w:b w:val="0"/>
                <w:bCs w:val="0"/>
                <w:sz w:val="20"/>
                <w:szCs w:val="20"/>
              </w:rPr>
              <w:t>Diarrhoea and or vomiting - Management of affected patients and staff including Norovirus</w:t>
            </w:r>
          </w:p>
        </w:tc>
        <w:tc>
          <w:tcPr>
            <w:tcW w:w="4830" w:type="dxa"/>
            <w:tcBorders>
              <w:top w:val="single" w:sz="4" w:space="0" w:color="auto"/>
              <w:left w:val="single" w:sz="4" w:space="0" w:color="auto"/>
              <w:bottom w:val="single" w:sz="4" w:space="0" w:color="auto"/>
              <w:right w:val="single" w:sz="4" w:space="0" w:color="auto"/>
            </w:tcBorders>
            <w:noWrap/>
            <w:vAlign w:val="center"/>
          </w:tcPr>
          <w:p w14:paraId="5FCFCCB0" w14:textId="77777777" w:rsidR="003850E1" w:rsidRDefault="003850E1" w:rsidP="007A7C62">
            <w:pPr>
              <w:spacing w:before="0" w:after="200" w:line="276" w:lineRule="auto"/>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14:paraId="5E9065EB" w14:textId="018ADB81" w:rsidR="00C57CB2" w:rsidRPr="00EF3F3A" w:rsidRDefault="00C57CB2" w:rsidP="00EF3F3A">
      <w:pPr>
        <w:pStyle w:val="body"/>
        <w:rPr>
          <w:sz w:val="20"/>
          <w:szCs w:val="20"/>
          <w:highlight w:val="yellow"/>
        </w:rPr>
      </w:pPr>
    </w:p>
    <w:p w14:paraId="3971813C" w14:textId="1158E4AC" w:rsidR="00550870" w:rsidRPr="00ED3D05" w:rsidRDefault="00550870" w:rsidP="001D338B">
      <w:pPr>
        <w:pStyle w:val="ListParagraph"/>
        <w:rPr>
          <w:sz w:val="20"/>
          <w:szCs w:val="20"/>
        </w:rPr>
      </w:pPr>
    </w:p>
    <w:p w14:paraId="5785E335" w14:textId="77777777" w:rsidR="00EC72F1" w:rsidRPr="003C50E1" w:rsidRDefault="00EC72F1" w:rsidP="001D338B">
      <w:pPr>
        <w:pStyle w:val="ListParagraph"/>
        <w:rPr>
          <w:sz w:val="22"/>
          <w:szCs w:val="26"/>
        </w:rPr>
      </w:pPr>
      <w:bookmarkStart w:id="0" w:name="_Hlk132109226"/>
    </w:p>
    <w:p w14:paraId="466A4983" w14:textId="77777777" w:rsidR="00BC34A5" w:rsidRPr="00DA633B" w:rsidRDefault="00BC34A5" w:rsidP="00DA633B">
      <w:pPr>
        <w:rPr>
          <w:b/>
          <w:sz w:val="26"/>
          <w:szCs w:val="26"/>
        </w:rPr>
      </w:pPr>
      <w:r w:rsidRPr="001740CA">
        <w:rPr>
          <w:b/>
          <w:szCs w:val="24"/>
        </w:rPr>
        <w:t>Criterion 10: Providers</w:t>
      </w:r>
      <w:r w:rsidRPr="001740CA">
        <w:rPr>
          <w:b/>
        </w:rPr>
        <w:t xml:space="preserve"> have a system in place to manage the occupational health needs and obligations of staff in relation to infection.</w:t>
      </w:r>
      <w:r w:rsidR="00F40CC9" w:rsidRPr="00DA633B">
        <w:rPr>
          <w:b/>
        </w:rPr>
        <w:t xml:space="preserve"> </w:t>
      </w:r>
    </w:p>
    <w:p w14:paraId="7F721AAE" w14:textId="77777777" w:rsidR="00210B9D" w:rsidRPr="00CE348A" w:rsidRDefault="00210B9D" w:rsidP="003066D9">
      <w:pPr>
        <w:rPr>
          <w:noProof/>
          <w:lang w:eastAsia="en-GB"/>
        </w:rPr>
      </w:pPr>
    </w:p>
    <w:p w14:paraId="1356485B" w14:textId="77777777" w:rsidR="00A14245" w:rsidRPr="00210B9D" w:rsidRDefault="00A14245" w:rsidP="00A14245">
      <w:pPr>
        <w:rPr>
          <w:sz w:val="22"/>
          <w:u w:val="single"/>
        </w:rPr>
      </w:pPr>
      <w:r w:rsidRPr="00210B9D">
        <w:rPr>
          <w:sz w:val="22"/>
          <w:u w:val="single"/>
        </w:rPr>
        <w:t xml:space="preserve">TP Health Occupational Health &amp; Employee Well-Being </w:t>
      </w:r>
    </w:p>
    <w:p w14:paraId="186EBF7A" w14:textId="18167F22" w:rsidR="00B45590" w:rsidRPr="00210B9D" w:rsidRDefault="00BD411F" w:rsidP="00A14245">
      <w:pPr>
        <w:rPr>
          <w:sz w:val="20"/>
          <w:szCs w:val="20"/>
        </w:rPr>
      </w:pPr>
      <w:r w:rsidRPr="00210B9D">
        <w:rPr>
          <w:sz w:val="20"/>
          <w:szCs w:val="20"/>
        </w:rPr>
        <w:t>TP Health is committed to the protection of all Trust employees as an essential part of Infection Control policies and guidance. In line with the Health and Social Care Act and Department of Health Guidelines, TP Health have arrangements in place for assessing the immunisation status of all Trust employees as well as regularly reviewing the immunisation status of existing healthcare workers and providing vaccinations as necessary and in accordance with the Green Book and Joint Committee on Vaccination and Immunisation to reduce the risk and spread of vaccine-preventable disease. There are currently two days per week at RJAH of Occupational Health clinics, which are mainly filled with new starter immunisations</w:t>
      </w:r>
      <w:r w:rsidR="00B0449C" w:rsidRPr="00210B9D">
        <w:rPr>
          <w:sz w:val="20"/>
          <w:szCs w:val="20"/>
        </w:rPr>
        <w:t xml:space="preserve">.  RJAH </w:t>
      </w:r>
      <w:proofErr w:type="gramStart"/>
      <w:r w:rsidR="00B0449C" w:rsidRPr="00210B9D">
        <w:rPr>
          <w:sz w:val="20"/>
          <w:szCs w:val="20"/>
        </w:rPr>
        <w:t>are able to</w:t>
      </w:r>
      <w:proofErr w:type="gramEnd"/>
      <w:r w:rsidR="00B0449C" w:rsidRPr="00210B9D">
        <w:rPr>
          <w:sz w:val="20"/>
          <w:szCs w:val="20"/>
        </w:rPr>
        <w:t xml:space="preserve"> utilise the OH facility at SaTH for convenience.  </w:t>
      </w:r>
    </w:p>
    <w:p w14:paraId="2E19C3DA" w14:textId="77777777" w:rsidR="00340667" w:rsidRDefault="00340667" w:rsidP="00A14245">
      <w:pPr>
        <w:rPr>
          <w:sz w:val="22"/>
          <w:u w:val="single"/>
        </w:rPr>
      </w:pPr>
    </w:p>
    <w:p w14:paraId="3ABC6BC1" w14:textId="77777777" w:rsidR="00A57731" w:rsidRDefault="00A57731" w:rsidP="00A14245">
      <w:pPr>
        <w:rPr>
          <w:sz w:val="22"/>
          <w:u w:val="single"/>
        </w:rPr>
      </w:pPr>
    </w:p>
    <w:p w14:paraId="3757BB2C" w14:textId="77777777" w:rsidR="00A57731" w:rsidRPr="00210B9D" w:rsidRDefault="00A57731" w:rsidP="00A14245">
      <w:pPr>
        <w:rPr>
          <w:sz w:val="22"/>
          <w:u w:val="single"/>
        </w:rPr>
      </w:pPr>
    </w:p>
    <w:p w14:paraId="74DED0A4" w14:textId="750724C0" w:rsidR="00A14245" w:rsidRPr="00210B9D" w:rsidRDefault="00A14245" w:rsidP="00A14245">
      <w:pPr>
        <w:rPr>
          <w:sz w:val="22"/>
          <w:u w:val="single"/>
        </w:rPr>
      </w:pPr>
      <w:r w:rsidRPr="00210B9D">
        <w:rPr>
          <w:sz w:val="22"/>
          <w:u w:val="single"/>
        </w:rPr>
        <w:t xml:space="preserve">Blood Borne Virus Exposure </w:t>
      </w:r>
    </w:p>
    <w:p w14:paraId="688C3E33" w14:textId="2F8136A9" w:rsidR="007A7C62" w:rsidRPr="00210B9D" w:rsidRDefault="00BD411F" w:rsidP="00A14245">
      <w:pPr>
        <w:rPr>
          <w:sz w:val="20"/>
          <w:szCs w:val="20"/>
        </w:rPr>
      </w:pPr>
      <w:r w:rsidRPr="00210B9D">
        <w:rPr>
          <w:sz w:val="20"/>
          <w:szCs w:val="20"/>
        </w:rPr>
        <w:t xml:space="preserve">Blood borne virus exposure incidents or injuries may represent a significant risk to staff working in healthcare environments. Under Health and Safety Legislation, TP Health work collaboratively with the Trust to ensure their responsibility for the health and safety of staff in relation to preventing, reducing, and controlling the risks of healthcare associated infection and management of occupational exposure to blood borne viruses and post exposure prophylaxis. TP Health are responsible for the assessment and follow up of all blood borne virus exposure incidents occurring during departmental opening hours and for the follow up of those exposure incidents occurring out of hours in emergency </w:t>
      </w:r>
      <w:proofErr w:type="spellStart"/>
      <w:proofErr w:type="gramStart"/>
      <w:r w:rsidRPr="00210B9D">
        <w:rPr>
          <w:sz w:val="20"/>
          <w:szCs w:val="20"/>
        </w:rPr>
        <w:t>departments.</w:t>
      </w:r>
      <w:r w:rsidR="00B0449C" w:rsidRPr="00210B9D">
        <w:rPr>
          <w:sz w:val="20"/>
          <w:szCs w:val="20"/>
        </w:rPr>
        <w:t>Between</w:t>
      </w:r>
      <w:proofErr w:type="spellEnd"/>
      <w:proofErr w:type="gramEnd"/>
      <w:r w:rsidRPr="00210B9D">
        <w:rPr>
          <w:sz w:val="20"/>
          <w:szCs w:val="20"/>
        </w:rPr>
        <w:t xml:space="preserve"> April 2022 to March 2023 exposure incidents reported to TP Health was a total of 18 incidents. Of these 18 incidents, 13 of these were percutaneous</w:t>
      </w:r>
      <w:r w:rsidR="00CE348A" w:rsidRPr="00210B9D">
        <w:rPr>
          <w:sz w:val="20"/>
          <w:szCs w:val="20"/>
        </w:rPr>
        <w:t>.</w:t>
      </w:r>
      <w:r w:rsidR="00B0449C" w:rsidRPr="00210B9D">
        <w:rPr>
          <w:sz w:val="20"/>
          <w:szCs w:val="20"/>
        </w:rPr>
        <w:t xml:space="preserve">  </w:t>
      </w:r>
    </w:p>
    <w:p w14:paraId="3C2097E9" w14:textId="3878FC1C" w:rsidR="00B45590" w:rsidRDefault="00B45590" w:rsidP="00B45590">
      <w:pPr>
        <w:rPr>
          <w:sz w:val="20"/>
          <w:szCs w:val="20"/>
        </w:rPr>
      </w:pPr>
    </w:p>
    <w:p w14:paraId="2C4F90BA" w14:textId="4937A7D0" w:rsidR="001740CA" w:rsidRPr="000D64EB" w:rsidRDefault="001740CA" w:rsidP="00B45590">
      <w:pPr>
        <w:rPr>
          <w:sz w:val="20"/>
          <w:szCs w:val="20"/>
          <w:u w:val="single"/>
        </w:rPr>
      </w:pPr>
      <w:r w:rsidRPr="000D64EB">
        <w:rPr>
          <w:sz w:val="20"/>
          <w:szCs w:val="20"/>
          <w:u w:val="single"/>
        </w:rPr>
        <w:t xml:space="preserve">Flu Campaign 2022/2023 </w:t>
      </w:r>
    </w:p>
    <w:p w14:paraId="30C0BAFA" w14:textId="5228681E" w:rsidR="001740CA" w:rsidRPr="000D64EB" w:rsidRDefault="001740CA" w:rsidP="00B45590">
      <w:pPr>
        <w:rPr>
          <w:sz w:val="20"/>
          <w:szCs w:val="20"/>
        </w:rPr>
      </w:pPr>
      <w:r w:rsidRPr="000D64EB">
        <w:rPr>
          <w:sz w:val="20"/>
          <w:szCs w:val="20"/>
        </w:rPr>
        <w:t xml:space="preserve">This year’s flu campaign was led by the Trust Medicines Management </w:t>
      </w:r>
      <w:r w:rsidR="00210B9D" w:rsidRPr="000D64EB">
        <w:rPr>
          <w:sz w:val="20"/>
          <w:szCs w:val="20"/>
        </w:rPr>
        <w:t>Lead Nurse</w:t>
      </w:r>
      <w:r w:rsidR="00976592" w:rsidRPr="000D64EB">
        <w:rPr>
          <w:sz w:val="20"/>
          <w:szCs w:val="20"/>
        </w:rPr>
        <w:t>.  Staff uptake was lower than expected this year</w:t>
      </w:r>
      <w:r w:rsidR="00210B9D" w:rsidRPr="000D64EB">
        <w:rPr>
          <w:sz w:val="20"/>
          <w:szCs w:val="20"/>
        </w:rPr>
        <w:t xml:space="preserve"> </w:t>
      </w:r>
      <w:r w:rsidR="00976592" w:rsidRPr="000D64EB">
        <w:rPr>
          <w:sz w:val="20"/>
          <w:szCs w:val="20"/>
        </w:rPr>
        <w:t>at</w:t>
      </w:r>
      <w:r w:rsidR="00210B9D" w:rsidRPr="000D64EB">
        <w:rPr>
          <w:sz w:val="20"/>
          <w:szCs w:val="20"/>
        </w:rPr>
        <w:t xml:space="preserve"> 56.9%</w:t>
      </w:r>
      <w:r w:rsidR="00976592" w:rsidRPr="000D64EB">
        <w:rPr>
          <w:sz w:val="20"/>
          <w:szCs w:val="20"/>
        </w:rPr>
        <w:t>, however this low uptake was reflected nationally</w:t>
      </w:r>
      <w:r w:rsidR="000D64EB" w:rsidRPr="000D64EB">
        <w:rPr>
          <w:sz w:val="20"/>
          <w:szCs w:val="20"/>
        </w:rPr>
        <w:t xml:space="preserve">.  Drive for COVID-19 vaccinations were </w:t>
      </w:r>
      <w:proofErr w:type="spellStart"/>
      <w:r w:rsidR="000D64EB" w:rsidRPr="000D64EB">
        <w:rPr>
          <w:sz w:val="20"/>
          <w:szCs w:val="20"/>
        </w:rPr>
        <w:t>throught</w:t>
      </w:r>
      <w:proofErr w:type="spellEnd"/>
      <w:r w:rsidR="000D64EB" w:rsidRPr="000D64EB">
        <w:rPr>
          <w:sz w:val="20"/>
          <w:szCs w:val="20"/>
        </w:rPr>
        <w:t xml:space="preserve"> to be a contributory factor to the low uptake figures. </w:t>
      </w:r>
      <w:r w:rsidR="00210B9D" w:rsidRPr="000D64EB">
        <w:rPr>
          <w:sz w:val="20"/>
          <w:szCs w:val="20"/>
        </w:rPr>
        <w:t xml:space="preserve">   </w:t>
      </w:r>
    </w:p>
    <w:p w14:paraId="24BF5D43" w14:textId="77777777" w:rsidR="00946366" w:rsidRDefault="00946366" w:rsidP="00DB1EBC">
      <w:pPr>
        <w:rPr>
          <w:b/>
          <w:bCs/>
          <w:sz w:val="20"/>
          <w:szCs w:val="20"/>
          <w:u w:val="single"/>
        </w:rPr>
      </w:pPr>
    </w:p>
    <w:p w14:paraId="49FCC7D5" w14:textId="1EA46B91" w:rsidR="00701AC0" w:rsidRPr="00340667" w:rsidRDefault="00ED3D05" w:rsidP="00DB1EBC">
      <w:pPr>
        <w:rPr>
          <w:b/>
          <w:bCs/>
          <w:sz w:val="20"/>
          <w:szCs w:val="20"/>
          <w:u w:val="single"/>
        </w:rPr>
      </w:pPr>
      <w:r w:rsidRPr="00340667">
        <w:rPr>
          <w:b/>
          <w:bCs/>
          <w:sz w:val="20"/>
          <w:szCs w:val="20"/>
          <w:u w:val="single"/>
        </w:rPr>
        <w:t>Moving Forward</w:t>
      </w:r>
    </w:p>
    <w:p w14:paraId="0FA20BBC" w14:textId="68609BB2" w:rsidR="0088400B" w:rsidRDefault="0009530F" w:rsidP="00DB1EBC">
      <w:pPr>
        <w:rPr>
          <w:sz w:val="20"/>
          <w:szCs w:val="20"/>
        </w:rPr>
      </w:pPr>
      <w:r w:rsidRPr="007B3067">
        <w:rPr>
          <w:sz w:val="20"/>
          <w:szCs w:val="20"/>
        </w:rPr>
        <w:t>Our drivers (mentioned in our key achievements) have led us to create structure to our ambitions</w:t>
      </w:r>
      <w:r w:rsidR="00340667">
        <w:rPr>
          <w:sz w:val="20"/>
          <w:szCs w:val="20"/>
        </w:rPr>
        <w:t xml:space="preserve"> (see below graphic)</w:t>
      </w:r>
      <w:r w:rsidRPr="007B3067">
        <w:rPr>
          <w:sz w:val="20"/>
          <w:szCs w:val="20"/>
        </w:rPr>
        <w:t xml:space="preserve"> </w:t>
      </w:r>
      <w:r w:rsidR="000D64EB">
        <w:rPr>
          <w:sz w:val="20"/>
          <w:szCs w:val="20"/>
        </w:rPr>
        <w:t>which will be monitored through the IPC Team annual plan:</w:t>
      </w:r>
    </w:p>
    <w:p w14:paraId="24FC258F" w14:textId="65FE3F3D" w:rsidR="00FA413E" w:rsidRDefault="00FA413E" w:rsidP="00DB1EBC">
      <w:pPr>
        <w:rPr>
          <w:sz w:val="20"/>
          <w:szCs w:val="20"/>
        </w:rPr>
      </w:pPr>
      <w:r w:rsidRPr="00FA413E">
        <w:rPr>
          <w:b/>
          <w:bCs/>
          <w:sz w:val="20"/>
          <w:szCs w:val="20"/>
        </w:rPr>
        <w:t>Integrated Working</w:t>
      </w:r>
      <w:r>
        <w:rPr>
          <w:sz w:val="20"/>
          <w:szCs w:val="20"/>
        </w:rPr>
        <w:t xml:space="preserve"> – we will collaborate with other providers across the System to consolidate our approach to </w:t>
      </w:r>
      <w:proofErr w:type="gramStart"/>
      <w:r>
        <w:rPr>
          <w:sz w:val="20"/>
          <w:szCs w:val="20"/>
        </w:rPr>
        <w:t>IPC</w:t>
      </w:r>
      <w:proofErr w:type="gramEnd"/>
    </w:p>
    <w:p w14:paraId="047B19A7" w14:textId="2833940A" w:rsidR="00FA413E" w:rsidRDefault="00FA413E" w:rsidP="00DB1EBC">
      <w:pPr>
        <w:rPr>
          <w:sz w:val="20"/>
          <w:szCs w:val="20"/>
        </w:rPr>
      </w:pPr>
      <w:r w:rsidRPr="00FA413E">
        <w:rPr>
          <w:b/>
          <w:bCs/>
          <w:sz w:val="20"/>
          <w:szCs w:val="20"/>
        </w:rPr>
        <w:t>Education and Training</w:t>
      </w:r>
      <w:r>
        <w:rPr>
          <w:sz w:val="20"/>
          <w:szCs w:val="20"/>
        </w:rPr>
        <w:t xml:space="preserve"> – we will innovate our approach to IPC educations and training by empowering staff to check and challenge IPC practices.  We will engage staff with national IPC initiatives and </w:t>
      </w:r>
      <w:proofErr w:type="gramStart"/>
      <w:r>
        <w:rPr>
          <w:sz w:val="20"/>
          <w:szCs w:val="20"/>
        </w:rPr>
        <w:t>campaigns</w:t>
      </w:r>
      <w:proofErr w:type="gramEnd"/>
      <w:r>
        <w:rPr>
          <w:sz w:val="20"/>
          <w:szCs w:val="20"/>
        </w:rPr>
        <w:t xml:space="preserve"> </w:t>
      </w:r>
    </w:p>
    <w:p w14:paraId="1BD0F2E0" w14:textId="4B3BB09F" w:rsidR="00FA413E" w:rsidRDefault="00FA413E" w:rsidP="00DB1EBC">
      <w:pPr>
        <w:rPr>
          <w:sz w:val="20"/>
          <w:szCs w:val="20"/>
        </w:rPr>
      </w:pPr>
      <w:r w:rsidRPr="00FA413E">
        <w:rPr>
          <w:b/>
          <w:bCs/>
          <w:sz w:val="20"/>
          <w:szCs w:val="20"/>
        </w:rPr>
        <w:t>Digital Technology</w:t>
      </w:r>
      <w:r>
        <w:rPr>
          <w:sz w:val="20"/>
          <w:szCs w:val="20"/>
        </w:rPr>
        <w:t xml:space="preserve"> – We will introduce technology to enhance our surveillance of Alert </w:t>
      </w:r>
      <w:proofErr w:type="gramStart"/>
      <w:r>
        <w:rPr>
          <w:sz w:val="20"/>
          <w:szCs w:val="20"/>
        </w:rPr>
        <w:t>organisms</w:t>
      </w:r>
      <w:proofErr w:type="gramEnd"/>
    </w:p>
    <w:p w14:paraId="5C312BC5" w14:textId="2B90841C" w:rsidR="00FA413E" w:rsidRDefault="00FA413E" w:rsidP="00DB1EBC">
      <w:pPr>
        <w:rPr>
          <w:sz w:val="20"/>
          <w:szCs w:val="20"/>
        </w:rPr>
      </w:pPr>
      <w:r w:rsidRPr="0052457E">
        <w:rPr>
          <w:b/>
          <w:bCs/>
          <w:sz w:val="20"/>
          <w:szCs w:val="20"/>
        </w:rPr>
        <w:t>Enhanced Engagement and Involvement</w:t>
      </w:r>
      <w:r>
        <w:rPr>
          <w:sz w:val="20"/>
          <w:szCs w:val="20"/>
        </w:rPr>
        <w:t xml:space="preserve"> – We will innovate and revise IPC data collection, analysis and reporting to improve all staff understanding of </w:t>
      </w:r>
      <w:r w:rsidR="0052457E">
        <w:rPr>
          <w:sz w:val="20"/>
          <w:szCs w:val="20"/>
        </w:rPr>
        <w:t>IPC quality metrics.</w:t>
      </w:r>
    </w:p>
    <w:p w14:paraId="2DC4A5D7" w14:textId="77777777" w:rsidR="00FA413E" w:rsidRDefault="00FA413E" w:rsidP="00DB1EBC">
      <w:pPr>
        <w:rPr>
          <w:sz w:val="20"/>
          <w:szCs w:val="20"/>
        </w:rPr>
      </w:pPr>
    </w:p>
    <w:p w14:paraId="5D41F678" w14:textId="77777777" w:rsidR="000D64EB" w:rsidRDefault="000D64EB" w:rsidP="00DB1EBC">
      <w:pPr>
        <w:rPr>
          <w:sz w:val="20"/>
          <w:szCs w:val="20"/>
        </w:rPr>
        <w:sectPr w:rsidR="000D64EB" w:rsidSect="000D64EB">
          <w:pgSz w:w="11906" w:h="16838"/>
          <w:pgMar w:top="720" w:right="720" w:bottom="720" w:left="720" w:header="709" w:footer="0" w:gutter="0"/>
          <w:cols w:space="708"/>
          <w:docGrid w:linePitch="360"/>
        </w:sectPr>
      </w:pPr>
    </w:p>
    <w:p w14:paraId="0617F128" w14:textId="2C885CDD" w:rsidR="0009530F" w:rsidRDefault="00FA413E" w:rsidP="00DB1EBC">
      <w:pPr>
        <w:rPr>
          <w:sz w:val="22"/>
        </w:rPr>
      </w:pPr>
      <w:r>
        <w:rPr>
          <w:noProof/>
        </w:rPr>
        <w:lastRenderedPageBreak/>
        <w:drawing>
          <wp:inline distT="0" distB="0" distL="0" distR="0" wp14:anchorId="065F4422" wp14:editId="70B37291">
            <wp:extent cx="9753600" cy="6460932"/>
            <wp:effectExtent l="0" t="0" r="0" b="0"/>
            <wp:docPr id="199" name="Picture 199" descr="A chart of information on a website&#10;&#10;Description automatically generated">
              <a:extLst xmlns:a="http://schemas.openxmlformats.org/drawingml/2006/main">
                <a:ext uri="{FF2B5EF4-FFF2-40B4-BE49-F238E27FC236}">
                  <a16:creationId xmlns:a16="http://schemas.microsoft.com/office/drawing/2014/main" id="{E5D3DF36-5B35-A1A8-35A3-E5A20E08AF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A chart of information on a website&#10;&#10;Description automatically generated">
                      <a:extLst>
                        <a:ext uri="{FF2B5EF4-FFF2-40B4-BE49-F238E27FC236}">
                          <a16:creationId xmlns:a16="http://schemas.microsoft.com/office/drawing/2014/main" id="{E5D3DF36-5B35-A1A8-35A3-E5A20E08AF64}"/>
                        </a:ext>
                      </a:extLst>
                    </pic:cNvPr>
                    <pic:cNvPicPr>
                      <a:picLocks noChangeAspect="1"/>
                    </pic:cNvPicPr>
                  </pic:nvPicPr>
                  <pic:blipFill>
                    <a:blip r:embed="rId37"/>
                    <a:stretch>
                      <a:fillRect/>
                    </a:stretch>
                  </pic:blipFill>
                  <pic:spPr>
                    <a:xfrm>
                      <a:off x="0" y="0"/>
                      <a:ext cx="9773085" cy="6473839"/>
                    </a:xfrm>
                    <a:prstGeom prst="rect">
                      <a:avLst/>
                    </a:prstGeom>
                  </pic:spPr>
                </pic:pic>
              </a:graphicData>
            </a:graphic>
          </wp:inline>
        </w:drawing>
      </w:r>
    </w:p>
    <w:p w14:paraId="2F3F16B8" w14:textId="77777777" w:rsidR="009F30A3" w:rsidRDefault="009F30A3" w:rsidP="0069069B">
      <w:pPr>
        <w:rPr>
          <w:b/>
          <w:sz w:val="22"/>
          <w:u w:val="single"/>
        </w:rPr>
        <w:sectPr w:rsidR="009F30A3" w:rsidSect="000D64EB">
          <w:pgSz w:w="16838" w:h="11906" w:orient="landscape"/>
          <w:pgMar w:top="720" w:right="720" w:bottom="720" w:left="720" w:header="709" w:footer="0" w:gutter="0"/>
          <w:cols w:space="708"/>
          <w:docGrid w:linePitch="360"/>
        </w:sectPr>
      </w:pPr>
    </w:p>
    <w:p w14:paraId="4486A965" w14:textId="77777777" w:rsidR="00FD7B50" w:rsidRDefault="00FD7B50" w:rsidP="0069069B">
      <w:pPr>
        <w:rPr>
          <w:b/>
          <w:sz w:val="22"/>
          <w:u w:val="single"/>
        </w:rPr>
      </w:pPr>
    </w:p>
    <w:p w14:paraId="3BB9132B" w14:textId="36570C7B" w:rsidR="00C01E7E" w:rsidRDefault="0069069B" w:rsidP="0069069B">
      <w:pPr>
        <w:rPr>
          <w:b/>
          <w:sz w:val="22"/>
          <w:u w:val="single"/>
        </w:rPr>
      </w:pPr>
      <w:r w:rsidRPr="009A7064">
        <w:rPr>
          <w:b/>
          <w:sz w:val="22"/>
          <w:u w:val="single"/>
        </w:rPr>
        <w:t>Conclusion</w:t>
      </w:r>
    </w:p>
    <w:p w14:paraId="1E7EB472" w14:textId="7C95614B" w:rsidR="00533F1F" w:rsidRDefault="00533F1F" w:rsidP="0069069B">
      <w:pPr>
        <w:rPr>
          <w:bCs/>
          <w:sz w:val="20"/>
          <w:szCs w:val="20"/>
        </w:rPr>
      </w:pPr>
      <w:r w:rsidRPr="00533F1F">
        <w:rPr>
          <w:bCs/>
          <w:sz w:val="20"/>
          <w:szCs w:val="20"/>
        </w:rPr>
        <w:t xml:space="preserve">This year has continued to be challenging as we </w:t>
      </w:r>
      <w:r>
        <w:rPr>
          <w:bCs/>
          <w:sz w:val="20"/>
          <w:szCs w:val="20"/>
        </w:rPr>
        <w:t xml:space="preserve">have </w:t>
      </w:r>
      <w:r w:rsidRPr="00533F1F">
        <w:rPr>
          <w:bCs/>
          <w:sz w:val="20"/>
          <w:szCs w:val="20"/>
        </w:rPr>
        <w:t xml:space="preserve">worked through our improvement journey.  However, we have embraced this extraordinary challenge and are proud to be able to demonstrate our collaborative approach across the </w:t>
      </w:r>
      <w:r w:rsidR="00340667">
        <w:rPr>
          <w:bCs/>
          <w:sz w:val="20"/>
          <w:szCs w:val="20"/>
        </w:rPr>
        <w:t>Trust</w:t>
      </w:r>
      <w:r w:rsidRPr="00533F1F">
        <w:rPr>
          <w:bCs/>
          <w:sz w:val="20"/>
          <w:szCs w:val="20"/>
        </w:rPr>
        <w:t>.  The IPC Team are excited to move into the next year with</w:t>
      </w:r>
      <w:r w:rsidR="00340667">
        <w:rPr>
          <w:bCs/>
          <w:sz w:val="20"/>
          <w:szCs w:val="20"/>
        </w:rPr>
        <w:t xml:space="preserve"> a</w:t>
      </w:r>
      <w:r w:rsidRPr="00533F1F">
        <w:rPr>
          <w:bCs/>
          <w:sz w:val="20"/>
          <w:szCs w:val="20"/>
        </w:rPr>
        <w:t xml:space="preserve"> more proactive approach to the prevention and control of infection, in line with our vision of a </w:t>
      </w:r>
      <w:proofErr w:type="gramStart"/>
      <w:r w:rsidRPr="00533F1F">
        <w:rPr>
          <w:bCs/>
          <w:sz w:val="20"/>
          <w:szCs w:val="20"/>
        </w:rPr>
        <w:t>zero tolerance</w:t>
      </w:r>
      <w:proofErr w:type="gramEnd"/>
      <w:r w:rsidR="00210B9D">
        <w:rPr>
          <w:bCs/>
          <w:sz w:val="20"/>
          <w:szCs w:val="20"/>
        </w:rPr>
        <w:t xml:space="preserve"> approach</w:t>
      </w:r>
      <w:r w:rsidRPr="00533F1F">
        <w:rPr>
          <w:bCs/>
          <w:sz w:val="20"/>
          <w:szCs w:val="20"/>
        </w:rPr>
        <w:t xml:space="preserve"> to </w:t>
      </w:r>
      <w:proofErr w:type="spellStart"/>
      <w:r w:rsidRPr="00533F1F">
        <w:rPr>
          <w:bCs/>
          <w:sz w:val="20"/>
          <w:szCs w:val="20"/>
        </w:rPr>
        <w:t>noscomial</w:t>
      </w:r>
      <w:proofErr w:type="spellEnd"/>
      <w:r w:rsidRPr="00533F1F">
        <w:rPr>
          <w:bCs/>
          <w:sz w:val="20"/>
          <w:szCs w:val="20"/>
        </w:rPr>
        <w:t xml:space="preserve"> infections.  Over the last year the IPC has grown, and with increased visibility around the Trust</w:t>
      </w:r>
      <w:r>
        <w:rPr>
          <w:bCs/>
          <w:sz w:val="20"/>
          <w:szCs w:val="20"/>
        </w:rPr>
        <w:t xml:space="preserve"> and our passion to help our staff provide the highest levels of patient care</w:t>
      </w:r>
      <w:r w:rsidRPr="00533F1F">
        <w:rPr>
          <w:bCs/>
          <w:sz w:val="20"/>
          <w:szCs w:val="20"/>
        </w:rPr>
        <w:t>, we are see</w:t>
      </w:r>
      <w:r w:rsidR="00210B9D">
        <w:rPr>
          <w:bCs/>
          <w:sz w:val="20"/>
          <w:szCs w:val="20"/>
        </w:rPr>
        <w:t>ing</w:t>
      </w:r>
      <w:r w:rsidRPr="00533F1F">
        <w:rPr>
          <w:bCs/>
          <w:sz w:val="20"/>
          <w:szCs w:val="20"/>
        </w:rPr>
        <w:t xml:space="preserve"> </w:t>
      </w:r>
      <w:r>
        <w:rPr>
          <w:bCs/>
          <w:sz w:val="20"/>
          <w:szCs w:val="20"/>
        </w:rPr>
        <w:t xml:space="preserve">increased ownership and engagement.  </w:t>
      </w:r>
    </w:p>
    <w:p w14:paraId="5DA8BBA6" w14:textId="34F08744" w:rsidR="00533F1F" w:rsidRDefault="00533F1F" w:rsidP="0069069B">
      <w:pPr>
        <w:rPr>
          <w:bCs/>
          <w:sz w:val="20"/>
          <w:szCs w:val="20"/>
        </w:rPr>
      </w:pPr>
      <w:r>
        <w:rPr>
          <w:bCs/>
          <w:sz w:val="20"/>
          <w:szCs w:val="20"/>
        </w:rPr>
        <w:t xml:space="preserve">We are committed to our vision and look forward to </w:t>
      </w:r>
      <w:r w:rsidR="0073772F">
        <w:rPr>
          <w:bCs/>
          <w:sz w:val="20"/>
          <w:szCs w:val="20"/>
        </w:rPr>
        <w:t>moving</w:t>
      </w:r>
      <w:r>
        <w:rPr>
          <w:bCs/>
          <w:sz w:val="20"/>
          <w:szCs w:val="20"/>
        </w:rPr>
        <w:t xml:space="preserve"> back into ‘business as usual’ approach</w:t>
      </w:r>
      <w:r w:rsidR="00340667">
        <w:rPr>
          <w:bCs/>
          <w:sz w:val="20"/>
          <w:szCs w:val="20"/>
        </w:rPr>
        <w:t xml:space="preserve"> after the COVID-19 pandemic,</w:t>
      </w:r>
      <w:r>
        <w:rPr>
          <w:bCs/>
          <w:sz w:val="20"/>
          <w:szCs w:val="20"/>
        </w:rPr>
        <w:t xml:space="preserve"> with a </w:t>
      </w:r>
      <w:r w:rsidR="0073772F">
        <w:rPr>
          <w:bCs/>
          <w:sz w:val="20"/>
          <w:szCs w:val="20"/>
        </w:rPr>
        <w:t xml:space="preserve">focus on sustaining and further improving the standards we have reached.  </w:t>
      </w:r>
    </w:p>
    <w:p w14:paraId="48EF278B" w14:textId="2C279ED2" w:rsidR="0073772F" w:rsidRDefault="0073772F" w:rsidP="0069069B">
      <w:pPr>
        <w:rPr>
          <w:bCs/>
          <w:sz w:val="20"/>
          <w:szCs w:val="20"/>
        </w:rPr>
      </w:pPr>
      <w:r>
        <w:rPr>
          <w:bCs/>
          <w:sz w:val="20"/>
          <w:szCs w:val="20"/>
        </w:rPr>
        <w:t xml:space="preserve">We would like to express thanks to </w:t>
      </w:r>
      <w:proofErr w:type="gramStart"/>
      <w:r>
        <w:rPr>
          <w:bCs/>
          <w:sz w:val="20"/>
          <w:szCs w:val="20"/>
        </w:rPr>
        <w:t>all of</w:t>
      </w:r>
      <w:proofErr w:type="gramEnd"/>
      <w:r>
        <w:rPr>
          <w:bCs/>
          <w:sz w:val="20"/>
          <w:szCs w:val="20"/>
        </w:rPr>
        <w:t xml:space="preserve"> the hard working, committed RJAH family for embracing this journey with us</w:t>
      </w:r>
      <w:r w:rsidR="00D950FE">
        <w:rPr>
          <w:bCs/>
          <w:sz w:val="20"/>
          <w:szCs w:val="20"/>
        </w:rPr>
        <w:t xml:space="preserve">, </w:t>
      </w:r>
      <w:r w:rsidR="00456506">
        <w:rPr>
          <w:bCs/>
          <w:sz w:val="20"/>
          <w:szCs w:val="20"/>
        </w:rPr>
        <w:t>and very much look forward to celebrating our sustained improvements throughout the next year.</w:t>
      </w:r>
    </w:p>
    <w:bookmarkEnd w:id="0"/>
    <w:p w14:paraId="4ED78791" w14:textId="5DA9A3E6" w:rsidR="00701AC0" w:rsidRPr="007A7C62" w:rsidRDefault="00701AC0" w:rsidP="00DB1EBC">
      <w:pPr>
        <w:rPr>
          <w:sz w:val="20"/>
          <w:szCs w:val="20"/>
        </w:rPr>
      </w:pPr>
    </w:p>
    <w:p w14:paraId="7E7E70F2" w14:textId="1382B3DE" w:rsidR="00FF77BF" w:rsidRPr="007A7C62" w:rsidRDefault="009B4266" w:rsidP="00DB1EBC">
      <w:pPr>
        <w:rPr>
          <w:sz w:val="20"/>
          <w:szCs w:val="20"/>
        </w:rPr>
      </w:pPr>
      <w:r>
        <w:rPr>
          <w:sz w:val="20"/>
          <w:szCs w:val="20"/>
        </w:rPr>
        <w:t>Sa</w:t>
      </w:r>
      <w:r w:rsidR="006717DE">
        <w:rPr>
          <w:sz w:val="20"/>
          <w:szCs w:val="20"/>
        </w:rPr>
        <w:t xml:space="preserve">mantha Young </w:t>
      </w:r>
      <w:r w:rsidR="00435C47" w:rsidRPr="007A7C62">
        <w:rPr>
          <w:sz w:val="20"/>
          <w:szCs w:val="20"/>
        </w:rPr>
        <w:tab/>
      </w:r>
      <w:r w:rsidR="00054167" w:rsidRPr="007A7C62">
        <w:rPr>
          <w:sz w:val="20"/>
          <w:szCs w:val="20"/>
        </w:rPr>
        <w:t>Director of Infection Prevention and Control</w:t>
      </w:r>
      <w:r w:rsidR="00FC77B5" w:rsidRPr="007A7C62">
        <w:rPr>
          <w:sz w:val="20"/>
          <w:szCs w:val="20"/>
        </w:rPr>
        <w:t xml:space="preserve"> (DIPC)</w:t>
      </w:r>
    </w:p>
    <w:p w14:paraId="3FF55592" w14:textId="0379370A" w:rsidR="009B4266" w:rsidRDefault="009B4266" w:rsidP="00DB1EBC">
      <w:pPr>
        <w:rPr>
          <w:sz w:val="20"/>
          <w:szCs w:val="20"/>
        </w:rPr>
      </w:pPr>
      <w:r>
        <w:rPr>
          <w:sz w:val="20"/>
          <w:szCs w:val="20"/>
        </w:rPr>
        <w:t>Anna Morris</w:t>
      </w:r>
      <w:r w:rsidR="00C254D2">
        <w:rPr>
          <w:sz w:val="20"/>
          <w:szCs w:val="20"/>
        </w:rPr>
        <w:tab/>
      </w:r>
      <w:r w:rsidR="006717DE">
        <w:rPr>
          <w:sz w:val="20"/>
          <w:szCs w:val="20"/>
        </w:rPr>
        <w:tab/>
        <w:t>Clinical Lead</w:t>
      </w:r>
      <w:r w:rsidR="00ED3D05">
        <w:rPr>
          <w:sz w:val="20"/>
          <w:szCs w:val="20"/>
        </w:rPr>
        <w:t xml:space="preserve"> for</w:t>
      </w:r>
      <w:r w:rsidR="006717DE">
        <w:rPr>
          <w:sz w:val="20"/>
          <w:szCs w:val="20"/>
        </w:rPr>
        <w:t xml:space="preserve"> </w:t>
      </w:r>
      <w:r w:rsidR="00C254D2">
        <w:rPr>
          <w:sz w:val="20"/>
          <w:szCs w:val="20"/>
        </w:rPr>
        <w:t xml:space="preserve">Infection Prevention &amp; Control </w:t>
      </w:r>
    </w:p>
    <w:p w14:paraId="0DF816A0" w14:textId="2BB9DBD6" w:rsidR="006717DE" w:rsidRDefault="006717DE" w:rsidP="006717DE">
      <w:pPr>
        <w:rPr>
          <w:sz w:val="20"/>
          <w:szCs w:val="20"/>
        </w:rPr>
      </w:pPr>
      <w:r>
        <w:rPr>
          <w:sz w:val="20"/>
          <w:szCs w:val="20"/>
        </w:rPr>
        <w:t xml:space="preserve">Hayley Gingell   </w:t>
      </w:r>
      <w:r>
        <w:rPr>
          <w:sz w:val="20"/>
          <w:szCs w:val="20"/>
        </w:rPr>
        <w:tab/>
        <w:t xml:space="preserve">IPC Assurance Lead </w:t>
      </w:r>
      <w:r>
        <w:rPr>
          <w:sz w:val="20"/>
          <w:szCs w:val="20"/>
        </w:rPr>
        <w:tab/>
      </w:r>
    </w:p>
    <w:p w14:paraId="53BFE727" w14:textId="2F87AD23" w:rsidR="00FF77BF" w:rsidRPr="007A7C62" w:rsidRDefault="00435C47" w:rsidP="00DB1EBC">
      <w:pPr>
        <w:rPr>
          <w:sz w:val="20"/>
          <w:szCs w:val="20"/>
        </w:rPr>
      </w:pPr>
      <w:r w:rsidRPr="007A7C62">
        <w:rPr>
          <w:sz w:val="20"/>
          <w:szCs w:val="20"/>
        </w:rPr>
        <w:tab/>
      </w:r>
      <w:r w:rsidRPr="007A7C62">
        <w:rPr>
          <w:sz w:val="20"/>
          <w:szCs w:val="20"/>
        </w:rPr>
        <w:tab/>
      </w:r>
    </w:p>
    <w:p w14:paraId="0413AB19" w14:textId="2C120C83" w:rsidR="00880824" w:rsidRDefault="008E719D" w:rsidP="00DB1EBC">
      <w:pPr>
        <w:rPr>
          <w:sz w:val="20"/>
          <w:szCs w:val="20"/>
        </w:rPr>
      </w:pPr>
      <w:r>
        <w:rPr>
          <w:sz w:val="20"/>
          <w:szCs w:val="20"/>
        </w:rPr>
        <w:t>June 202</w:t>
      </w:r>
      <w:r w:rsidR="006717DE">
        <w:rPr>
          <w:sz w:val="20"/>
          <w:szCs w:val="20"/>
        </w:rPr>
        <w:t>3</w:t>
      </w:r>
    </w:p>
    <w:p w14:paraId="4D3344BF" w14:textId="42E14281" w:rsidR="008E719D" w:rsidRDefault="008E719D" w:rsidP="00DB1EBC">
      <w:pPr>
        <w:rPr>
          <w:sz w:val="20"/>
          <w:szCs w:val="20"/>
        </w:rPr>
      </w:pPr>
    </w:p>
    <w:p w14:paraId="56C13703" w14:textId="4D685A5C" w:rsidR="008E719D" w:rsidRDefault="008E719D" w:rsidP="00DB1EBC">
      <w:pPr>
        <w:rPr>
          <w:sz w:val="20"/>
          <w:szCs w:val="20"/>
        </w:rPr>
      </w:pPr>
    </w:p>
    <w:p w14:paraId="375F6752" w14:textId="620B7DD8" w:rsidR="008E719D" w:rsidRDefault="008E719D" w:rsidP="00DB1EBC">
      <w:pPr>
        <w:rPr>
          <w:sz w:val="20"/>
          <w:szCs w:val="20"/>
        </w:rPr>
      </w:pPr>
    </w:p>
    <w:p w14:paraId="6DE7A520" w14:textId="6AB6BEC6" w:rsidR="008E719D" w:rsidRDefault="008E719D" w:rsidP="00DB1EBC">
      <w:pPr>
        <w:rPr>
          <w:sz w:val="20"/>
          <w:szCs w:val="20"/>
        </w:rPr>
      </w:pPr>
    </w:p>
    <w:p w14:paraId="7FC19F65" w14:textId="420CF45B" w:rsidR="008E719D" w:rsidRDefault="008E719D" w:rsidP="00DB1EBC">
      <w:pPr>
        <w:rPr>
          <w:sz w:val="20"/>
          <w:szCs w:val="20"/>
        </w:rPr>
      </w:pPr>
    </w:p>
    <w:p w14:paraId="06071AE8" w14:textId="599FF392" w:rsidR="008E719D" w:rsidRDefault="008E719D" w:rsidP="00DB1EBC">
      <w:pPr>
        <w:rPr>
          <w:sz w:val="20"/>
          <w:szCs w:val="20"/>
        </w:rPr>
      </w:pPr>
    </w:p>
    <w:p w14:paraId="68501834" w14:textId="63BD7FDF" w:rsidR="008E719D" w:rsidRDefault="008E719D" w:rsidP="00DB1EBC">
      <w:pPr>
        <w:rPr>
          <w:sz w:val="20"/>
          <w:szCs w:val="20"/>
        </w:rPr>
      </w:pPr>
    </w:p>
    <w:p w14:paraId="77DF66F3" w14:textId="507D696B" w:rsidR="008E719D" w:rsidRDefault="008E719D" w:rsidP="00DB1EBC">
      <w:pPr>
        <w:rPr>
          <w:sz w:val="20"/>
          <w:szCs w:val="20"/>
        </w:rPr>
      </w:pPr>
    </w:p>
    <w:p w14:paraId="7642127F" w14:textId="5FCC902A" w:rsidR="008E719D" w:rsidRDefault="008E719D" w:rsidP="00DB1EBC">
      <w:pPr>
        <w:rPr>
          <w:sz w:val="20"/>
          <w:szCs w:val="20"/>
        </w:rPr>
      </w:pPr>
    </w:p>
    <w:p w14:paraId="4DDD4C03" w14:textId="1758A3B0" w:rsidR="0056435F" w:rsidRPr="003839C3" w:rsidRDefault="0056435F" w:rsidP="003839C3">
      <w:pPr>
        <w:rPr>
          <w:b/>
          <w:sz w:val="28"/>
          <w:szCs w:val="28"/>
        </w:rPr>
      </w:pPr>
    </w:p>
    <w:sectPr w:rsidR="0056435F" w:rsidRPr="003839C3" w:rsidSect="009F30A3">
      <w:pgSz w:w="11906" w:h="16838"/>
      <w:pgMar w:top="720" w:right="720" w:bottom="720"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7E77B" w14:textId="77777777" w:rsidR="00582505" w:rsidRDefault="00582505" w:rsidP="007F6098">
      <w:pPr>
        <w:spacing w:before="0"/>
      </w:pPr>
      <w:r>
        <w:separator/>
      </w:r>
    </w:p>
  </w:endnote>
  <w:endnote w:type="continuationSeparator" w:id="0">
    <w:p w14:paraId="3F088543" w14:textId="77777777" w:rsidR="00582505" w:rsidRDefault="00582505" w:rsidP="007F609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Georgia-Italic">
    <w:altName w:val="Georgia"/>
    <w:panose1 w:val="00000000000000000000"/>
    <w:charset w:val="4D"/>
    <w:family w:val="auto"/>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ra Pro">
    <w:altName w:val="Calibri"/>
    <w:panose1 w:val="00000000000000000000"/>
    <w:charset w:val="00"/>
    <w:family w:val="modern"/>
    <w:notTrueType/>
    <w:pitch w:val="variable"/>
    <w:sig w:usb0="00000287" w:usb1="00000001"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177435"/>
      <w:docPartObj>
        <w:docPartGallery w:val="Page Numbers (Bottom of Page)"/>
        <w:docPartUnique/>
      </w:docPartObj>
    </w:sdtPr>
    <w:sdtEndPr>
      <w:rPr>
        <w:noProof/>
        <w:sz w:val="18"/>
        <w:szCs w:val="18"/>
      </w:rPr>
    </w:sdtEndPr>
    <w:sdtContent>
      <w:p w14:paraId="3E4F88E3" w14:textId="77777777" w:rsidR="005D48B8" w:rsidRPr="00E00115" w:rsidRDefault="005D48B8">
        <w:pPr>
          <w:pStyle w:val="Footer"/>
          <w:jc w:val="right"/>
          <w:rPr>
            <w:sz w:val="18"/>
            <w:szCs w:val="18"/>
          </w:rPr>
        </w:pPr>
        <w:r w:rsidRPr="00E00115">
          <w:rPr>
            <w:sz w:val="18"/>
            <w:szCs w:val="18"/>
          </w:rPr>
          <w:fldChar w:fldCharType="begin"/>
        </w:r>
        <w:r w:rsidRPr="00E00115">
          <w:rPr>
            <w:sz w:val="18"/>
            <w:szCs w:val="18"/>
          </w:rPr>
          <w:instrText xml:space="preserve"> PAGE   \* MERGEFORMAT </w:instrText>
        </w:r>
        <w:r w:rsidRPr="00E00115">
          <w:rPr>
            <w:sz w:val="18"/>
            <w:szCs w:val="18"/>
          </w:rPr>
          <w:fldChar w:fldCharType="separate"/>
        </w:r>
        <w:r w:rsidR="00954CF0" w:rsidRPr="00E00115">
          <w:rPr>
            <w:noProof/>
            <w:sz w:val="18"/>
            <w:szCs w:val="18"/>
          </w:rPr>
          <w:t>28</w:t>
        </w:r>
        <w:r w:rsidRPr="00E00115">
          <w:rPr>
            <w:noProof/>
            <w:sz w:val="18"/>
            <w:szCs w:val="18"/>
          </w:rPr>
          <w:fldChar w:fldCharType="end"/>
        </w:r>
      </w:p>
    </w:sdtContent>
  </w:sdt>
  <w:p w14:paraId="0C434363" w14:textId="77777777" w:rsidR="005D48B8" w:rsidRDefault="005D48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A3B46" w14:textId="77777777" w:rsidR="00582505" w:rsidRDefault="00582505" w:rsidP="007F6098">
      <w:pPr>
        <w:spacing w:before="0"/>
      </w:pPr>
      <w:r>
        <w:separator/>
      </w:r>
    </w:p>
  </w:footnote>
  <w:footnote w:type="continuationSeparator" w:id="0">
    <w:p w14:paraId="31FEAB07" w14:textId="77777777" w:rsidR="00582505" w:rsidRDefault="00582505" w:rsidP="007F609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5EB3A" w14:textId="10568C37" w:rsidR="005D48B8" w:rsidRDefault="005D48B8" w:rsidP="00DE6E70">
    <w:pPr>
      <w:pStyle w:val="Headerfooter"/>
      <w:rPr>
        <w:rFonts w:cs="Arial"/>
        <w:color w:val="4F81BD" w:themeColor="accent1"/>
        <w:sz w:val="28"/>
        <w:szCs w:val="28"/>
      </w:rPr>
    </w:pPr>
    <w:r>
      <w:rPr>
        <w:rFonts w:cs="Arial"/>
        <w:color w:val="4F81BD" w:themeColor="accent1"/>
        <w:sz w:val="28"/>
        <w:szCs w:val="28"/>
      </w:rPr>
      <w:t xml:space="preserve">Infection Prevention </w:t>
    </w:r>
    <w:r w:rsidR="0058054A">
      <w:rPr>
        <w:rFonts w:cs="Arial"/>
        <w:color w:val="4F81BD" w:themeColor="accent1"/>
        <w:sz w:val="28"/>
        <w:szCs w:val="28"/>
      </w:rPr>
      <w:t>&amp;</w:t>
    </w:r>
    <w:r>
      <w:rPr>
        <w:rFonts w:cs="Arial"/>
        <w:color w:val="4F81BD" w:themeColor="accent1"/>
        <w:sz w:val="28"/>
        <w:szCs w:val="28"/>
      </w:rPr>
      <w:t xml:space="preserve"> Control </w:t>
    </w:r>
    <w:r w:rsidR="0058054A">
      <w:rPr>
        <w:rFonts w:cs="Arial"/>
        <w:color w:val="4F81BD" w:themeColor="accent1"/>
        <w:sz w:val="28"/>
        <w:szCs w:val="28"/>
      </w:rPr>
      <w:t xml:space="preserve">and </w:t>
    </w:r>
    <w:r>
      <w:rPr>
        <w:rFonts w:cs="Arial"/>
        <w:color w:val="4F81BD" w:themeColor="accent1"/>
        <w:sz w:val="28"/>
        <w:szCs w:val="28"/>
      </w:rPr>
      <w:t xml:space="preserve"> </w:t>
    </w:r>
  </w:p>
  <w:p w14:paraId="3CDDFAFE" w14:textId="05F02F87" w:rsidR="005D48B8" w:rsidRDefault="005D48B8" w:rsidP="00DE6E70">
    <w:pPr>
      <w:pStyle w:val="Headerfooter"/>
    </w:pPr>
    <w:r>
      <w:rPr>
        <w:rFonts w:cs="Arial"/>
        <w:color w:val="4F81BD" w:themeColor="accent1"/>
        <w:sz w:val="28"/>
        <w:szCs w:val="28"/>
      </w:rPr>
      <w:t>Cleanliness Annual Report 202</w:t>
    </w:r>
    <w:r w:rsidR="00132DCF">
      <w:rPr>
        <w:rFonts w:cs="Arial"/>
        <w:color w:val="4F81BD" w:themeColor="accent1"/>
        <w:sz w:val="28"/>
        <w:szCs w:val="28"/>
      </w:rPr>
      <w:t>2</w:t>
    </w:r>
    <w:r>
      <w:rPr>
        <w:rFonts w:cs="Arial"/>
        <w:color w:val="4F81BD" w:themeColor="accent1"/>
        <w:sz w:val="28"/>
        <w:szCs w:val="28"/>
      </w:rPr>
      <w:t>/2</w:t>
    </w:r>
    <w:r w:rsidR="00132DCF">
      <w:rPr>
        <w:rFonts w:cs="Arial"/>
        <w:color w:val="4F81BD" w:themeColor="accent1"/>
        <w:sz w:val="28"/>
        <w:szCs w:val="28"/>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1B32"/>
    <w:multiLevelType w:val="hybridMultilevel"/>
    <w:tmpl w:val="EE86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95D03"/>
    <w:multiLevelType w:val="multilevel"/>
    <w:tmpl w:val="9D72BE10"/>
    <w:lvl w:ilvl="0">
      <w:start w:val="1"/>
      <w:numFmt w:val="decimal"/>
      <w:lvlText w:val="%1."/>
      <w:lvlJc w:val="left"/>
      <w:pPr>
        <w:ind w:left="360" w:hanging="360"/>
      </w:pPr>
    </w:lvl>
    <w:lvl w:ilvl="1">
      <w:start w:val="1"/>
      <w:numFmt w:val="decimal"/>
      <w:lvlText w:val="%1.%2."/>
      <w:lvlJc w:val="left"/>
      <w:pPr>
        <w:ind w:left="432" w:hanging="432"/>
      </w:pPr>
      <w:rPr>
        <w:color w:val="auto"/>
        <w:sz w:val="24"/>
        <w:szCs w:val="24"/>
      </w:rPr>
    </w:lvl>
    <w:lvl w:ilvl="2">
      <w:start w:val="1"/>
      <w:numFmt w:val="decimal"/>
      <w:lvlText w:val="%1.%2.%3."/>
      <w:lvlJc w:val="left"/>
      <w:pPr>
        <w:ind w:left="121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C60281"/>
    <w:multiLevelType w:val="hybridMultilevel"/>
    <w:tmpl w:val="DBF835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CD4DA0"/>
    <w:multiLevelType w:val="hybridMultilevel"/>
    <w:tmpl w:val="7B84E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60087"/>
    <w:multiLevelType w:val="hybridMultilevel"/>
    <w:tmpl w:val="E2EE798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0C275DD1"/>
    <w:multiLevelType w:val="hybridMultilevel"/>
    <w:tmpl w:val="D8C6B990"/>
    <w:lvl w:ilvl="0" w:tplc="08090001">
      <w:start w:val="1"/>
      <w:numFmt w:val="bullet"/>
      <w:lvlText w:val=""/>
      <w:lvlJc w:val="left"/>
      <w:pPr>
        <w:ind w:left="1526" w:hanging="360"/>
      </w:pPr>
      <w:rPr>
        <w:rFonts w:ascii="Symbol" w:hAnsi="Symbol" w:hint="default"/>
      </w:rPr>
    </w:lvl>
    <w:lvl w:ilvl="1" w:tplc="08090003" w:tentative="1">
      <w:start w:val="1"/>
      <w:numFmt w:val="bullet"/>
      <w:lvlText w:val="o"/>
      <w:lvlJc w:val="left"/>
      <w:pPr>
        <w:ind w:left="2246" w:hanging="360"/>
      </w:pPr>
      <w:rPr>
        <w:rFonts w:ascii="Courier New" w:hAnsi="Courier New" w:cs="Courier New" w:hint="default"/>
      </w:rPr>
    </w:lvl>
    <w:lvl w:ilvl="2" w:tplc="08090005" w:tentative="1">
      <w:start w:val="1"/>
      <w:numFmt w:val="bullet"/>
      <w:lvlText w:val=""/>
      <w:lvlJc w:val="left"/>
      <w:pPr>
        <w:ind w:left="2966" w:hanging="360"/>
      </w:pPr>
      <w:rPr>
        <w:rFonts w:ascii="Wingdings" w:hAnsi="Wingdings" w:hint="default"/>
      </w:rPr>
    </w:lvl>
    <w:lvl w:ilvl="3" w:tplc="08090001" w:tentative="1">
      <w:start w:val="1"/>
      <w:numFmt w:val="bullet"/>
      <w:lvlText w:val=""/>
      <w:lvlJc w:val="left"/>
      <w:pPr>
        <w:ind w:left="3686" w:hanging="360"/>
      </w:pPr>
      <w:rPr>
        <w:rFonts w:ascii="Symbol" w:hAnsi="Symbol" w:hint="default"/>
      </w:rPr>
    </w:lvl>
    <w:lvl w:ilvl="4" w:tplc="08090003" w:tentative="1">
      <w:start w:val="1"/>
      <w:numFmt w:val="bullet"/>
      <w:lvlText w:val="o"/>
      <w:lvlJc w:val="left"/>
      <w:pPr>
        <w:ind w:left="4406" w:hanging="360"/>
      </w:pPr>
      <w:rPr>
        <w:rFonts w:ascii="Courier New" w:hAnsi="Courier New" w:cs="Courier New" w:hint="default"/>
      </w:rPr>
    </w:lvl>
    <w:lvl w:ilvl="5" w:tplc="08090005" w:tentative="1">
      <w:start w:val="1"/>
      <w:numFmt w:val="bullet"/>
      <w:lvlText w:val=""/>
      <w:lvlJc w:val="left"/>
      <w:pPr>
        <w:ind w:left="5126" w:hanging="360"/>
      </w:pPr>
      <w:rPr>
        <w:rFonts w:ascii="Wingdings" w:hAnsi="Wingdings" w:hint="default"/>
      </w:rPr>
    </w:lvl>
    <w:lvl w:ilvl="6" w:tplc="08090001" w:tentative="1">
      <w:start w:val="1"/>
      <w:numFmt w:val="bullet"/>
      <w:lvlText w:val=""/>
      <w:lvlJc w:val="left"/>
      <w:pPr>
        <w:ind w:left="5846" w:hanging="360"/>
      </w:pPr>
      <w:rPr>
        <w:rFonts w:ascii="Symbol" w:hAnsi="Symbol" w:hint="default"/>
      </w:rPr>
    </w:lvl>
    <w:lvl w:ilvl="7" w:tplc="08090003" w:tentative="1">
      <w:start w:val="1"/>
      <w:numFmt w:val="bullet"/>
      <w:lvlText w:val="o"/>
      <w:lvlJc w:val="left"/>
      <w:pPr>
        <w:ind w:left="6566" w:hanging="360"/>
      </w:pPr>
      <w:rPr>
        <w:rFonts w:ascii="Courier New" w:hAnsi="Courier New" w:cs="Courier New" w:hint="default"/>
      </w:rPr>
    </w:lvl>
    <w:lvl w:ilvl="8" w:tplc="08090005" w:tentative="1">
      <w:start w:val="1"/>
      <w:numFmt w:val="bullet"/>
      <w:lvlText w:val=""/>
      <w:lvlJc w:val="left"/>
      <w:pPr>
        <w:ind w:left="7286" w:hanging="360"/>
      </w:pPr>
      <w:rPr>
        <w:rFonts w:ascii="Wingdings" w:hAnsi="Wingdings" w:hint="default"/>
      </w:rPr>
    </w:lvl>
  </w:abstractNum>
  <w:abstractNum w:abstractNumId="6" w15:restartNumberingAfterBreak="0">
    <w:nsid w:val="0FDD3A2C"/>
    <w:multiLevelType w:val="hybridMultilevel"/>
    <w:tmpl w:val="E1BC9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F66A9F"/>
    <w:multiLevelType w:val="hybridMultilevel"/>
    <w:tmpl w:val="7E6E9F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D53A3E"/>
    <w:multiLevelType w:val="hybridMultilevel"/>
    <w:tmpl w:val="49BAB9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2508E0"/>
    <w:multiLevelType w:val="hybridMultilevel"/>
    <w:tmpl w:val="67D61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D34C98"/>
    <w:multiLevelType w:val="hybridMultilevel"/>
    <w:tmpl w:val="6164D7DA"/>
    <w:lvl w:ilvl="0" w:tplc="413E63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B33911"/>
    <w:multiLevelType w:val="hybridMultilevel"/>
    <w:tmpl w:val="226E4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2008EF"/>
    <w:multiLevelType w:val="hybridMultilevel"/>
    <w:tmpl w:val="EE98D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6B4010"/>
    <w:multiLevelType w:val="hybridMultilevel"/>
    <w:tmpl w:val="B824E8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1977ED"/>
    <w:multiLevelType w:val="hybridMultilevel"/>
    <w:tmpl w:val="3CE6A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681C8B"/>
    <w:multiLevelType w:val="hybridMultilevel"/>
    <w:tmpl w:val="714A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790AA3"/>
    <w:multiLevelType w:val="hybridMultilevel"/>
    <w:tmpl w:val="5E7AD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F74BBA"/>
    <w:multiLevelType w:val="hybridMultilevel"/>
    <w:tmpl w:val="A1408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3D0C59"/>
    <w:multiLevelType w:val="hybridMultilevel"/>
    <w:tmpl w:val="CF383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B57E1A"/>
    <w:multiLevelType w:val="hybridMultilevel"/>
    <w:tmpl w:val="2090A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1E35A0"/>
    <w:multiLevelType w:val="hybridMultilevel"/>
    <w:tmpl w:val="E1425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44269A"/>
    <w:multiLevelType w:val="hybridMultilevel"/>
    <w:tmpl w:val="4E02F79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5D54C2"/>
    <w:multiLevelType w:val="hybridMultilevel"/>
    <w:tmpl w:val="E230CB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F23A36"/>
    <w:multiLevelType w:val="hybridMultilevel"/>
    <w:tmpl w:val="E91803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9B1409"/>
    <w:multiLevelType w:val="hybridMultilevel"/>
    <w:tmpl w:val="B6B48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F917E8"/>
    <w:multiLevelType w:val="multilevel"/>
    <w:tmpl w:val="C59EBBE6"/>
    <w:lvl w:ilvl="0">
      <w:start w:val="3"/>
      <w:numFmt w:val="decimal"/>
      <w:lvlText w:val="%1"/>
      <w:lvlJc w:val="left"/>
      <w:pPr>
        <w:ind w:left="525" w:hanging="525"/>
      </w:pPr>
      <w:rPr>
        <w:rFonts w:hint="default"/>
        <w:sz w:val="24"/>
      </w:rPr>
    </w:lvl>
    <w:lvl w:ilvl="1">
      <w:start w:val="1"/>
      <w:numFmt w:val="decimal"/>
      <w:lvlText w:val="%1.%2"/>
      <w:lvlJc w:val="left"/>
      <w:pPr>
        <w:ind w:left="720" w:hanging="720"/>
      </w:pPr>
      <w:rPr>
        <w:rFonts w:hint="default"/>
        <w:sz w:val="24"/>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26" w15:restartNumberingAfterBreak="0">
    <w:nsid w:val="5477331E"/>
    <w:multiLevelType w:val="hybridMultilevel"/>
    <w:tmpl w:val="84FA1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5B45FD"/>
    <w:multiLevelType w:val="hybridMultilevel"/>
    <w:tmpl w:val="77D47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8C1507"/>
    <w:multiLevelType w:val="hybridMultilevel"/>
    <w:tmpl w:val="BC687E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F07A10"/>
    <w:multiLevelType w:val="hybridMultilevel"/>
    <w:tmpl w:val="314EF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2E1D11"/>
    <w:multiLevelType w:val="hybridMultilevel"/>
    <w:tmpl w:val="9E18A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DC19AF"/>
    <w:multiLevelType w:val="hybridMultilevel"/>
    <w:tmpl w:val="EB6048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D10700E"/>
    <w:multiLevelType w:val="hybridMultilevel"/>
    <w:tmpl w:val="4C84E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5614C3"/>
    <w:multiLevelType w:val="hybridMultilevel"/>
    <w:tmpl w:val="77C8AA26"/>
    <w:lvl w:ilvl="0" w:tplc="0809000B">
      <w:start w:val="1"/>
      <w:numFmt w:val="bullet"/>
      <w:lvlText w:val=""/>
      <w:lvlJc w:val="left"/>
      <w:pPr>
        <w:ind w:left="928"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9E4595"/>
    <w:multiLevelType w:val="hybridMultilevel"/>
    <w:tmpl w:val="2A520A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8F404D"/>
    <w:multiLevelType w:val="hybridMultilevel"/>
    <w:tmpl w:val="014AA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ED2C75"/>
    <w:multiLevelType w:val="hybridMultilevel"/>
    <w:tmpl w:val="755E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FC5C40"/>
    <w:multiLevelType w:val="hybridMultilevel"/>
    <w:tmpl w:val="8250C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6B75A6"/>
    <w:multiLevelType w:val="hybridMultilevel"/>
    <w:tmpl w:val="6526034C"/>
    <w:lvl w:ilvl="0" w:tplc="F61E8206">
      <w:start w:val="1"/>
      <w:numFmt w:val="bullet"/>
      <w:lvlText w:val=""/>
      <w:lvlJc w:val="left"/>
      <w:pPr>
        <w:tabs>
          <w:tab w:val="num" w:pos="720"/>
        </w:tabs>
        <w:ind w:left="720" w:hanging="360"/>
      </w:pPr>
      <w:rPr>
        <w:rFonts w:ascii="Symbol" w:hAnsi="Symbol" w:hint="default"/>
      </w:rPr>
    </w:lvl>
    <w:lvl w:ilvl="1" w:tplc="A2D44D50" w:tentative="1">
      <w:start w:val="1"/>
      <w:numFmt w:val="bullet"/>
      <w:lvlText w:val=""/>
      <w:lvlJc w:val="left"/>
      <w:pPr>
        <w:tabs>
          <w:tab w:val="num" w:pos="1440"/>
        </w:tabs>
        <w:ind w:left="1440" w:hanging="360"/>
      </w:pPr>
      <w:rPr>
        <w:rFonts w:ascii="Symbol" w:hAnsi="Symbol" w:hint="default"/>
      </w:rPr>
    </w:lvl>
    <w:lvl w:ilvl="2" w:tplc="5AB8B4AE" w:tentative="1">
      <w:start w:val="1"/>
      <w:numFmt w:val="bullet"/>
      <w:lvlText w:val=""/>
      <w:lvlJc w:val="left"/>
      <w:pPr>
        <w:tabs>
          <w:tab w:val="num" w:pos="2160"/>
        </w:tabs>
        <w:ind w:left="2160" w:hanging="360"/>
      </w:pPr>
      <w:rPr>
        <w:rFonts w:ascii="Symbol" w:hAnsi="Symbol" w:hint="default"/>
      </w:rPr>
    </w:lvl>
    <w:lvl w:ilvl="3" w:tplc="EF204046" w:tentative="1">
      <w:start w:val="1"/>
      <w:numFmt w:val="bullet"/>
      <w:lvlText w:val=""/>
      <w:lvlJc w:val="left"/>
      <w:pPr>
        <w:tabs>
          <w:tab w:val="num" w:pos="2880"/>
        </w:tabs>
        <w:ind w:left="2880" w:hanging="360"/>
      </w:pPr>
      <w:rPr>
        <w:rFonts w:ascii="Symbol" w:hAnsi="Symbol" w:hint="default"/>
      </w:rPr>
    </w:lvl>
    <w:lvl w:ilvl="4" w:tplc="394224E0" w:tentative="1">
      <w:start w:val="1"/>
      <w:numFmt w:val="bullet"/>
      <w:lvlText w:val=""/>
      <w:lvlJc w:val="left"/>
      <w:pPr>
        <w:tabs>
          <w:tab w:val="num" w:pos="3600"/>
        </w:tabs>
        <w:ind w:left="3600" w:hanging="360"/>
      </w:pPr>
      <w:rPr>
        <w:rFonts w:ascii="Symbol" w:hAnsi="Symbol" w:hint="default"/>
      </w:rPr>
    </w:lvl>
    <w:lvl w:ilvl="5" w:tplc="E8DE13C4" w:tentative="1">
      <w:start w:val="1"/>
      <w:numFmt w:val="bullet"/>
      <w:lvlText w:val=""/>
      <w:lvlJc w:val="left"/>
      <w:pPr>
        <w:tabs>
          <w:tab w:val="num" w:pos="4320"/>
        </w:tabs>
        <w:ind w:left="4320" w:hanging="360"/>
      </w:pPr>
      <w:rPr>
        <w:rFonts w:ascii="Symbol" w:hAnsi="Symbol" w:hint="default"/>
      </w:rPr>
    </w:lvl>
    <w:lvl w:ilvl="6" w:tplc="8A72C1C4" w:tentative="1">
      <w:start w:val="1"/>
      <w:numFmt w:val="bullet"/>
      <w:lvlText w:val=""/>
      <w:lvlJc w:val="left"/>
      <w:pPr>
        <w:tabs>
          <w:tab w:val="num" w:pos="5040"/>
        </w:tabs>
        <w:ind w:left="5040" w:hanging="360"/>
      </w:pPr>
      <w:rPr>
        <w:rFonts w:ascii="Symbol" w:hAnsi="Symbol" w:hint="default"/>
      </w:rPr>
    </w:lvl>
    <w:lvl w:ilvl="7" w:tplc="0BC274FE" w:tentative="1">
      <w:start w:val="1"/>
      <w:numFmt w:val="bullet"/>
      <w:lvlText w:val=""/>
      <w:lvlJc w:val="left"/>
      <w:pPr>
        <w:tabs>
          <w:tab w:val="num" w:pos="5760"/>
        </w:tabs>
        <w:ind w:left="5760" w:hanging="360"/>
      </w:pPr>
      <w:rPr>
        <w:rFonts w:ascii="Symbol" w:hAnsi="Symbol" w:hint="default"/>
      </w:rPr>
    </w:lvl>
    <w:lvl w:ilvl="8" w:tplc="C608B43A"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2F74742"/>
    <w:multiLevelType w:val="hybridMultilevel"/>
    <w:tmpl w:val="EBAA7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A673CC"/>
    <w:multiLevelType w:val="hybridMultilevel"/>
    <w:tmpl w:val="3530DD0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7066AD9"/>
    <w:multiLevelType w:val="hybridMultilevel"/>
    <w:tmpl w:val="AB8EF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095736"/>
    <w:multiLevelType w:val="hybridMultilevel"/>
    <w:tmpl w:val="EEDC3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FC4845"/>
    <w:multiLevelType w:val="hybridMultilevel"/>
    <w:tmpl w:val="9E408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990214">
    <w:abstractNumId w:val="1"/>
  </w:num>
  <w:num w:numId="2" w16cid:durableId="167794841">
    <w:abstractNumId w:val="7"/>
  </w:num>
  <w:num w:numId="3" w16cid:durableId="1006635011">
    <w:abstractNumId w:val="22"/>
  </w:num>
  <w:num w:numId="4" w16cid:durableId="2059040579">
    <w:abstractNumId w:val="33"/>
  </w:num>
  <w:num w:numId="5" w16cid:durableId="1964075811">
    <w:abstractNumId w:val="21"/>
  </w:num>
  <w:num w:numId="6" w16cid:durableId="1067416031">
    <w:abstractNumId w:val="13"/>
  </w:num>
  <w:num w:numId="7" w16cid:durableId="1852335830">
    <w:abstractNumId w:val="10"/>
  </w:num>
  <w:num w:numId="8" w16cid:durableId="778914553">
    <w:abstractNumId w:val="32"/>
  </w:num>
  <w:num w:numId="9" w16cid:durableId="1660840614">
    <w:abstractNumId w:val="37"/>
  </w:num>
  <w:num w:numId="10" w16cid:durableId="1501920967">
    <w:abstractNumId w:val="0"/>
  </w:num>
  <w:num w:numId="11" w16cid:durableId="1273124152">
    <w:abstractNumId w:val="38"/>
  </w:num>
  <w:num w:numId="12" w16cid:durableId="1188979721">
    <w:abstractNumId w:val="34"/>
  </w:num>
  <w:num w:numId="13" w16cid:durableId="961886812">
    <w:abstractNumId w:val="8"/>
  </w:num>
  <w:num w:numId="14" w16cid:durableId="1320309454">
    <w:abstractNumId w:val="23"/>
  </w:num>
  <w:num w:numId="15" w16cid:durableId="127558113">
    <w:abstractNumId w:val="25"/>
  </w:num>
  <w:num w:numId="16" w16cid:durableId="1887837655">
    <w:abstractNumId w:val="35"/>
  </w:num>
  <w:num w:numId="17" w16cid:durableId="437332948">
    <w:abstractNumId w:val="40"/>
  </w:num>
  <w:num w:numId="18" w16cid:durableId="744961835">
    <w:abstractNumId w:val="15"/>
  </w:num>
  <w:num w:numId="19" w16cid:durableId="645354238">
    <w:abstractNumId w:val="18"/>
  </w:num>
  <w:num w:numId="20" w16cid:durableId="1524586191">
    <w:abstractNumId w:val="3"/>
  </w:num>
  <w:num w:numId="21" w16cid:durableId="763767128">
    <w:abstractNumId w:val="26"/>
  </w:num>
  <w:num w:numId="22" w16cid:durableId="145635534">
    <w:abstractNumId w:val="41"/>
  </w:num>
  <w:num w:numId="23" w16cid:durableId="1563328486">
    <w:abstractNumId w:val="43"/>
  </w:num>
  <w:num w:numId="24" w16cid:durableId="1092583016">
    <w:abstractNumId w:val="16"/>
  </w:num>
  <w:num w:numId="25" w16cid:durableId="1818644203">
    <w:abstractNumId w:val="27"/>
  </w:num>
  <w:num w:numId="26" w16cid:durableId="180701646">
    <w:abstractNumId w:val="11"/>
  </w:num>
  <w:num w:numId="27" w16cid:durableId="28797515">
    <w:abstractNumId w:val="9"/>
  </w:num>
  <w:num w:numId="28" w16cid:durableId="2013755990">
    <w:abstractNumId w:val="6"/>
  </w:num>
  <w:num w:numId="29" w16cid:durableId="148133779">
    <w:abstractNumId w:val="39"/>
  </w:num>
  <w:num w:numId="30" w16cid:durableId="1919632533">
    <w:abstractNumId w:val="24"/>
  </w:num>
  <w:num w:numId="31" w16cid:durableId="1774084158">
    <w:abstractNumId w:val="36"/>
  </w:num>
  <w:num w:numId="32" w16cid:durableId="1143278708">
    <w:abstractNumId w:val="42"/>
  </w:num>
  <w:num w:numId="33" w16cid:durableId="85544429">
    <w:abstractNumId w:val="28"/>
  </w:num>
  <w:num w:numId="34" w16cid:durableId="1484739007">
    <w:abstractNumId w:val="29"/>
  </w:num>
  <w:num w:numId="35" w16cid:durableId="69156119">
    <w:abstractNumId w:val="14"/>
  </w:num>
  <w:num w:numId="36" w16cid:durableId="698354128">
    <w:abstractNumId w:val="12"/>
  </w:num>
  <w:num w:numId="37" w16cid:durableId="1016079639">
    <w:abstractNumId w:val="20"/>
  </w:num>
  <w:num w:numId="38" w16cid:durableId="1583368480">
    <w:abstractNumId w:val="19"/>
  </w:num>
  <w:num w:numId="39" w16cid:durableId="2085908260">
    <w:abstractNumId w:val="17"/>
  </w:num>
  <w:num w:numId="40" w16cid:durableId="1585726181">
    <w:abstractNumId w:val="2"/>
  </w:num>
  <w:num w:numId="41" w16cid:durableId="330908309">
    <w:abstractNumId w:val="31"/>
  </w:num>
  <w:num w:numId="42" w16cid:durableId="595208373">
    <w:abstractNumId w:val="5"/>
  </w:num>
  <w:num w:numId="43" w16cid:durableId="1869028140">
    <w:abstractNumId w:val="4"/>
  </w:num>
  <w:num w:numId="44" w16cid:durableId="1354265646">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098"/>
    <w:rsid w:val="00000F65"/>
    <w:rsid w:val="00002FB9"/>
    <w:rsid w:val="00004202"/>
    <w:rsid w:val="000047A3"/>
    <w:rsid w:val="0001007B"/>
    <w:rsid w:val="00011050"/>
    <w:rsid w:val="000114AD"/>
    <w:rsid w:val="00012841"/>
    <w:rsid w:val="000135CD"/>
    <w:rsid w:val="00014398"/>
    <w:rsid w:val="000152E9"/>
    <w:rsid w:val="00015622"/>
    <w:rsid w:val="00015ED5"/>
    <w:rsid w:val="0001783E"/>
    <w:rsid w:val="0002076E"/>
    <w:rsid w:val="00023AAC"/>
    <w:rsid w:val="000258C2"/>
    <w:rsid w:val="000264A0"/>
    <w:rsid w:val="000266D7"/>
    <w:rsid w:val="00030A72"/>
    <w:rsid w:val="00032545"/>
    <w:rsid w:val="00034202"/>
    <w:rsid w:val="000359FD"/>
    <w:rsid w:val="00036CA4"/>
    <w:rsid w:val="00037407"/>
    <w:rsid w:val="00043063"/>
    <w:rsid w:val="00043090"/>
    <w:rsid w:val="000431FD"/>
    <w:rsid w:val="00045937"/>
    <w:rsid w:val="00045F98"/>
    <w:rsid w:val="00046F73"/>
    <w:rsid w:val="00047611"/>
    <w:rsid w:val="00050CFE"/>
    <w:rsid w:val="000512D2"/>
    <w:rsid w:val="0005316F"/>
    <w:rsid w:val="00053308"/>
    <w:rsid w:val="00053B6E"/>
    <w:rsid w:val="00054167"/>
    <w:rsid w:val="00054458"/>
    <w:rsid w:val="00054A95"/>
    <w:rsid w:val="000558DF"/>
    <w:rsid w:val="00060889"/>
    <w:rsid w:val="00060D4A"/>
    <w:rsid w:val="000615A3"/>
    <w:rsid w:val="000636CC"/>
    <w:rsid w:val="00064BEF"/>
    <w:rsid w:val="000668BA"/>
    <w:rsid w:val="00066EE1"/>
    <w:rsid w:val="00067324"/>
    <w:rsid w:val="00067653"/>
    <w:rsid w:val="000678CA"/>
    <w:rsid w:val="00071072"/>
    <w:rsid w:val="0007173D"/>
    <w:rsid w:val="00071DF0"/>
    <w:rsid w:val="000721DA"/>
    <w:rsid w:val="00072670"/>
    <w:rsid w:val="0007363D"/>
    <w:rsid w:val="000740A5"/>
    <w:rsid w:val="0007463F"/>
    <w:rsid w:val="00074AC9"/>
    <w:rsid w:val="00076772"/>
    <w:rsid w:val="00076794"/>
    <w:rsid w:val="000767CF"/>
    <w:rsid w:val="0008085B"/>
    <w:rsid w:val="00081D2C"/>
    <w:rsid w:val="00081F26"/>
    <w:rsid w:val="0008288E"/>
    <w:rsid w:val="00084C65"/>
    <w:rsid w:val="0008517C"/>
    <w:rsid w:val="000929DB"/>
    <w:rsid w:val="00093485"/>
    <w:rsid w:val="000935DC"/>
    <w:rsid w:val="000946FE"/>
    <w:rsid w:val="0009530F"/>
    <w:rsid w:val="00095CEA"/>
    <w:rsid w:val="00096091"/>
    <w:rsid w:val="00096749"/>
    <w:rsid w:val="000967F1"/>
    <w:rsid w:val="000A1297"/>
    <w:rsid w:val="000A18D4"/>
    <w:rsid w:val="000A1915"/>
    <w:rsid w:val="000A1997"/>
    <w:rsid w:val="000A2D3A"/>
    <w:rsid w:val="000A3358"/>
    <w:rsid w:val="000A35BE"/>
    <w:rsid w:val="000A4978"/>
    <w:rsid w:val="000A6421"/>
    <w:rsid w:val="000A663B"/>
    <w:rsid w:val="000A7ED8"/>
    <w:rsid w:val="000B168A"/>
    <w:rsid w:val="000B21C9"/>
    <w:rsid w:val="000B27B2"/>
    <w:rsid w:val="000B3E1E"/>
    <w:rsid w:val="000B4569"/>
    <w:rsid w:val="000B4592"/>
    <w:rsid w:val="000B4CEB"/>
    <w:rsid w:val="000B676D"/>
    <w:rsid w:val="000B6A2B"/>
    <w:rsid w:val="000B6D4F"/>
    <w:rsid w:val="000B741D"/>
    <w:rsid w:val="000B77A2"/>
    <w:rsid w:val="000C01FB"/>
    <w:rsid w:val="000C04A3"/>
    <w:rsid w:val="000C08E1"/>
    <w:rsid w:val="000C0D4B"/>
    <w:rsid w:val="000C1431"/>
    <w:rsid w:val="000C33A9"/>
    <w:rsid w:val="000C371A"/>
    <w:rsid w:val="000C385F"/>
    <w:rsid w:val="000C38BE"/>
    <w:rsid w:val="000C3994"/>
    <w:rsid w:val="000C3EAE"/>
    <w:rsid w:val="000C40BF"/>
    <w:rsid w:val="000C77DF"/>
    <w:rsid w:val="000D04E5"/>
    <w:rsid w:val="000D349B"/>
    <w:rsid w:val="000D64EB"/>
    <w:rsid w:val="000D70E6"/>
    <w:rsid w:val="000E453D"/>
    <w:rsid w:val="000E5ECD"/>
    <w:rsid w:val="000E5F93"/>
    <w:rsid w:val="000E68C8"/>
    <w:rsid w:val="000E6CE2"/>
    <w:rsid w:val="000E6DC4"/>
    <w:rsid w:val="000E73CD"/>
    <w:rsid w:val="000F03C4"/>
    <w:rsid w:val="000F0783"/>
    <w:rsid w:val="000F1C4B"/>
    <w:rsid w:val="000F2286"/>
    <w:rsid w:val="000F24FA"/>
    <w:rsid w:val="000F3B50"/>
    <w:rsid w:val="000F51C5"/>
    <w:rsid w:val="000F6D3F"/>
    <w:rsid w:val="000F71A1"/>
    <w:rsid w:val="0010146A"/>
    <w:rsid w:val="001038E1"/>
    <w:rsid w:val="00106135"/>
    <w:rsid w:val="001066A1"/>
    <w:rsid w:val="001100A3"/>
    <w:rsid w:val="0011026C"/>
    <w:rsid w:val="001122D7"/>
    <w:rsid w:val="0011353D"/>
    <w:rsid w:val="001136DA"/>
    <w:rsid w:val="00113D2E"/>
    <w:rsid w:val="001165C0"/>
    <w:rsid w:val="001169AC"/>
    <w:rsid w:val="00117C8D"/>
    <w:rsid w:val="001216AF"/>
    <w:rsid w:val="00122797"/>
    <w:rsid w:val="00123A94"/>
    <w:rsid w:val="00123C13"/>
    <w:rsid w:val="0012460A"/>
    <w:rsid w:val="00124CB2"/>
    <w:rsid w:val="0012738E"/>
    <w:rsid w:val="0012772D"/>
    <w:rsid w:val="00127E7D"/>
    <w:rsid w:val="00131344"/>
    <w:rsid w:val="00131459"/>
    <w:rsid w:val="00132DCF"/>
    <w:rsid w:val="00132E5A"/>
    <w:rsid w:val="0013513C"/>
    <w:rsid w:val="00136C5F"/>
    <w:rsid w:val="00137D1F"/>
    <w:rsid w:val="001409AE"/>
    <w:rsid w:val="001414FF"/>
    <w:rsid w:val="00144198"/>
    <w:rsid w:val="0014527E"/>
    <w:rsid w:val="001464BB"/>
    <w:rsid w:val="00151F39"/>
    <w:rsid w:val="001534B2"/>
    <w:rsid w:val="0015373B"/>
    <w:rsid w:val="00153BA8"/>
    <w:rsid w:val="001545DC"/>
    <w:rsid w:val="001557CE"/>
    <w:rsid w:val="00155AF6"/>
    <w:rsid w:val="00155FD9"/>
    <w:rsid w:val="00156412"/>
    <w:rsid w:val="00156AEA"/>
    <w:rsid w:val="00157449"/>
    <w:rsid w:val="001574C6"/>
    <w:rsid w:val="00157DA7"/>
    <w:rsid w:val="00160758"/>
    <w:rsid w:val="001609A0"/>
    <w:rsid w:val="001611B0"/>
    <w:rsid w:val="001634B0"/>
    <w:rsid w:val="00164106"/>
    <w:rsid w:val="00164642"/>
    <w:rsid w:val="00164A23"/>
    <w:rsid w:val="00164D13"/>
    <w:rsid w:val="00165144"/>
    <w:rsid w:val="0016670B"/>
    <w:rsid w:val="001675C5"/>
    <w:rsid w:val="00170363"/>
    <w:rsid w:val="00172776"/>
    <w:rsid w:val="001727EB"/>
    <w:rsid w:val="00173602"/>
    <w:rsid w:val="00173B15"/>
    <w:rsid w:val="001740CA"/>
    <w:rsid w:val="001754D8"/>
    <w:rsid w:val="001761D5"/>
    <w:rsid w:val="00176F37"/>
    <w:rsid w:val="00177D49"/>
    <w:rsid w:val="00177F1D"/>
    <w:rsid w:val="00181000"/>
    <w:rsid w:val="00181F2F"/>
    <w:rsid w:val="00182145"/>
    <w:rsid w:val="00182BB2"/>
    <w:rsid w:val="00183CBA"/>
    <w:rsid w:val="00184280"/>
    <w:rsid w:val="0018509E"/>
    <w:rsid w:val="00185889"/>
    <w:rsid w:val="001879DD"/>
    <w:rsid w:val="00191F8E"/>
    <w:rsid w:val="00192569"/>
    <w:rsid w:val="0019263A"/>
    <w:rsid w:val="001960FE"/>
    <w:rsid w:val="001962E3"/>
    <w:rsid w:val="00197316"/>
    <w:rsid w:val="00197830"/>
    <w:rsid w:val="001A0BFF"/>
    <w:rsid w:val="001A0F0F"/>
    <w:rsid w:val="001A0FEC"/>
    <w:rsid w:val="001A1718"/>
    <w:rsid w:val="001A1BEB"/>
    <w:rsid w:val="001A3930"/>
    <w:rsid w:val="001A6BC5"/>
    <w:rsid w:val="001A707F"/>
    <w:rsid w:val="001A7112"/>
    <w:rsid w:val="001A75C3"/>
    <w:rsid w:val="001A79F5"/>
    <w:rsid w:val="001B04FE"/>
    <w:rsid w:val="001B0D5C"/>
    <w:rsid w:val="001B2595"/>
    <w:rsid w:val="001B2F64"/>
    <w:rsid w:val="001B40E6"/>
    <w:rsid w:val="001B4AAD"/>
    <w:rsid w:val="001B5E96"/>
    <w:rsid w:val="001B6A47"/>
    <w:rsid w:val="001C09A1"/>
    <w:rsid w:val="001C20E5"/>
    <w:rsid w:val="001C2904"/>
    <w:rsid w:val="001C3633"/>
    <w:rsid w:val="001C3CC6"/>
    <w:rsid w:val="001C4871"/>
    <w:rsid w:val="001C582A"/>
    <w:rsid w:val="001C5C11"/>
    <w:rsid w:val="001C62A7"/>
    <w:rsid w:val="001D033F"/>
    <w:rsid w:val="001D0783"/>
    <w:rsid w:val="001D16BD"/>
    <w:rsid w:val="001D338B"/>
    <w:rsid w:val="001D3592"/>
    <w:rsid w:val="001D4ADA"/>
    <w:rsid w:val="001D6798"/>
    <w:rsid w:val="001D6C36"/>
    <w:rsid w:val="001E1EBB"/>
    <w:rsid w:val="001E22BC"/>
    <w:rsid w:val="001E3AC3"/>
    <w:rsid w:val="001E3B1E"/>
    <w:rsid w:val="001E4458"/>
    <w:rsid w:val="001E5A49"/>
    <w:rsid w:val="001E5C0C"/>
    <w:rsid w:val="001E6353"/>
    <w:rsid w:val="001E6E18"/>
    <w:rsid w:val="001F0B01"/>
    <w:rsid w:val="001F0F46"/>
    <w:rsid w:val="001F1410"/>
    <w:rsid w:val="001F198A"/>
    <w:rsid w:val="001F2199"/>
    <w:rsid w:val="001F39DF"/>
    <w:rsid w:val="001F5A87"/>
    <w:rsid w:val="001F63E5"/>
    <w:rsid w:val="001F7930"/>
    <w:rsid w:val="001F7EDC"/>
    <w:rsid w:val="002006E0"/>
    <w:rsid w:val="00200926"/>
    <w:rsid w:val="00201CE2"/>
    <w:rsid w:val="0020253F"/>
    <w:rsid w:val="00204F73"/>
    <w:rsid w:val="00205510"/>
    <w:rsid w:val="002060DF"/>
    <w:rsid w:val="00206987"/>
    <w:rsid w:val="00207312"/>
    <w:rsid w:val="00210B9D"/>
    <w:rsid w:val="00210BE0"/>
    <w:rsid w:val="00211925"/>
    <w:rsid w:val="00211D07"/>
    <w:rsid w:val="002138EB"/>
    <w:rsid w:val="0021445E"/>
    <w:rsid w:val="00214C85"/>
    <w:rsid w:val="002162D4"/>
    <w:rsid w:val="00216395"/>
    <w:rsid w:val="00220ABF"/>
    <w:rsid w:val="00220AE9"/>
    <w:rsid w:val="00221565"/>
    <w:rsid w:val="00221A24"/>
    <w:rsid w:val="00221F55"/>
    <w:rsid w:val="00222A0D"/>
    <w:rsid w:val="002242B9"/>
    <w:rsid w:val="00224646"/>
    <w:rsid w:val="00231C0F"/>
    <w:rsid w:val="00234F36"/>
    <w:rsid w:val="002354D9"/>
    <w:rsid w:val="0023755A"/>
    <w:rsid w:val="00245345"/>
    <w:rsid w:val="002460F0"/>
    <w:rsid w:val="00247730"/>
    <w:rsid w:val="00247F64"/>
    <w:rsid w:val="0025084A"/>
    <w:rsid w:val="00252CCD"/>
    <w:rsid w:val="00254B51"/>
    <w:rsid w:val="00255098"/>
    <w:rsid w:val="0025514E"/>
    <w:rsid w:val="0025595B"/>
    <w:rsid w:val="00255BC3"/>
    <w:rsid w:val="00255D18"/>
    <w:rsid w:val="00256AAE"/>
    <w:rsid w:val="002577E0"/>
    <w:rsid w:val="002578FC"/>
    <w:rsid w:val="00260F46"/>
    <w:rsid w:val="00261A83"/>
    <w:rsid w:val="002621CA"/>
    <w:rsid w:val="002625AE"/>
    <w:rsid w:val="0026296B"/>
    <w:rsid w:val="002631A6"/>
    <w:rsid w:val="002648E6"/>
    <w:rsid w:val="00267791"/>
    <w:rsid w:val="0027065A"/>
    <w:rsid w:val="0027144F"/>
    <w:rsid w:val="002717E4"/>
    <w:rsid w:val="00273714"/>
    <w:rsid w:val="002738CB"/>
    <w:rsid w:val="002756C1"/>
    <w:rsid w:val="00277EBB"/>
    <w:rsid w:val="002801AC"/>
    <w:rsid w:val="0028061D"/>
    <w:rsid w:val="00284831"/>
    <w:rsid w:val="00284DE7"/>
    <w:rsid w:val="002904B2"/>
    <w:rsid w:val="002913FD"/>
    <w:rsid w:val="00291AAE"/>
    <w:rsid w:val="00291D67"/>
    <w:rsid w:val="00292243"/>
    <w:rsid w:val="002922CA"/>
    <w:rsid w:val="00293037"/>
    <w:rsid w:val="0029357D"/>
    <w:rsid w:val="00295ACE"/>
    <w:rsid w:val="002A08E2"/>
    <w:rsid w:val="002A1548"/>
    <w:rsid w:val="002A1678"/>
    <w:rsid w:val="002A20A8"/>
    <w:rsid w:val="002A2112"/>
    <w:rsid w:val="002A262B"/>
    <w:rsid w:val="002A2B83"/>
    <w:rsid w:val="002A4447"/>
    <w:rsid w:val="002A4E2C"/>
    <w:rsid w:val="002A53E5"/>
    <w:rsid w:val="002A60EF"/>
    <w:rsid w:val="002A63E9"/>
    <w:rsid w:val="002A66D4"/>
    <w:rsid w:val="002A6AAC"/>
    <w:rsid w:val="002A6D09"/>
    <w:rsid w:val="002A7059"/>
    <w:rsid w:val="002A745B"/>
    <w:rsid w:val="002B18C0"/>
    <w:rsid w:val="002B272F"/>
    <w:rsid w:val="002B2D71"/>
    <w:rsid w:val="002B5266"/>
    <w:rsid w:val="002B5D8D"/>
    <w:rsid w:val="002B78A1"/>
    <w:rsid w:val="002B7CA7"/>
    <w:rsid w:val="002C0687"/>
    <w:rsid w:val="002C1C46"/>
    <w:rsid w:val="002C3BC9"/>
    <w:rsid w:val="002C3CDA"/>
    <w:rsid w:val="002C4560"/>
    <w:rsid w:val="002C490A"/>
    <w:rsid w:val="002C5866"/>
    <w:rsid w:val="002C5D58"/>
    <w:rsid w:val="002C75A9"/>
    <w:rsid w:val="002D07C0"/>
    <w:rsid w:val="002D2260"/>
    <w:rsid w:val="002D232E"/>
    <w:rsid w:val="002D241E"/>
    <w:rsid w:val="002D26ED"/>
    <w:rsid w:val="002D273F"/>
    <w:rsid w:val="002D48D3"/>
    <w:rsid w:val="002D6472"/>
    <w:rsid w:val="002D7020"/>
    <w:rsid w:val="002E2942"/>
    <w:rsid w:val="002E36C1"/>
    <w:rsid w:val="002E3D7F"/>
    <w:rsid w:val="002E55C6"/>
    <w:rsid w:val="002E6540"/>
    <w:rsid w:val="002F12C5"/>
    <w:rsid w:val="002F1BC2"/>
    <w:rsid w:val="002F2315"/>
    <w:rsid w:val="002F2B0F"/>
    <w:rsid w:val="002F2B51"/>
    <w:rsid w:val="002F2C1E"/>
    <w:rsid w:val="002F31BD"/>
    <w:rsid w:val="002F4F41"/>
    <w:rsid w:val="002F5771"/>
    <w:rsid w:val="002F6817"/>
    <w:rsid w:val="002F7739"/>
    <w:rsid w:val="002F78C8"/>
    <w:rsid w:val="002F7A9D"/>
    <w:rsid w:val="00300930"/>
    <w:rsid w:val="00302B5B"/>
    <w:rsid w:val="00302F10"/>
    <w:rsid w:val="00305375"/>
    <w:rsid w:val="003062A1"/>
    <w:rsid w:val="0030646F"/>
    <w:rsid w:val="003066D9"/>
    <w:rsid w:val="00306F94"/>
    <w:rsid w:val="003126AA"/>
    <w:rsid w:val="0031311C"/>
    <w:rsid w:val="0031350E"/>
    <w:rsid w:val="003138C7"/>
    <w:rsid w:val="00314638"/>
    <w:rsid w:val="00315F93"/>
    <w:rsid w:val="00316805"/>
    <w:rsid w:val="003210F4"/>
    <w:rsid w:val="00322750"/>
    <w:rsid w:val="00323BE7"/>
    <w:rsid w:val="00323F4B"/>
    <w:rsid w:val="00325E3B"/>
    <w:rsid w:val="00326DB4"/>
    <w:rsid w:val="003274ED"/>
    <w:rsid w:val="0033329D"/>
    <w:rsid w:val="00334713"/>
    <w:rsid w:val="00334B67"/>
    <w:rsid w:val="003365A2"/>
    <w:rsid w:val="00336A4E"/>
    <w:rsid w:val="00336B12"/>
    <w:rsid w:val="003378DB"/>
    <w:rsid w:val="00340667"/>
    <w:rsid w:val="00340D7C"/>
    <w:rsid w:val="00341678"/>
    <w:rsid w:val="00342348"/>
    <w:rsid w:val="003436A4"/>
    <w:rsid w:val="003437FE"/>
    <w:rsid w:val="00343DB5"/>
    <w:rsid w:val="00343E0C"/>
    <w:rsid w:val="00344D5D"/>
    <w:rsid w:val="003451E9"/>
    <w:rsid w:val="00345BF1"/>
    <w:rsid w:val="00345D61"/>
    <w:rsid w:val="003468C6"/>
    <w:rsid w:val="003472FF"/>
    <w:rsid w:val="00347A50"/>
    <w:rsid w:val="00350414"/>
    <w:rsid w:val="00350878"/>
    <w:rsid w:val="00351A8D"/>
    <w:rsid w:val="00351AA1"/>
    <w:rsid w:val="00351C00"/>
    <w:rsid w:val="003529E3"/>
    <w:rsid w:val="00353950"/>
    <w:rsid w:val="00356816"/>
    <w:rsid w:val="003576C6"/>
    <w:rsid w:val="00357A31"/>
    <w:rsid w:val="00360E68"/>
    <w:rsid w:val="00361AC3"/>
    <w:rsid w:val="0036399B"/>
    <w:rsid w:val="00364163"/>
    <w:rsid w:val="00365DBE"/>
    <w:rsid w:val="003676B6"/>
    <w:rsid w:val="00367FC0"/>
    <w:rsid w:val="00372CA2"/>
    <w:rsid w:val="003749C1"/>
    <w:rsid w:val="00374C62"/>
    <w:rsid w:val="00374F65"/>
    <w:rsid w:val="00375A93"/>
    <w:rsid w:val="0037613A"/>
    <w:rsid w:val="003765FB"/>
    <w:rsid w:val="00376972"/>
    <w:rsid w:val="003769E8"/>
    <w:rsid w:val="00380FB6"/>
    <w:rsid w:val="003814E6"/>
    <w:rsid w:val="003839C3"/>
    <w:rsid w:val="00383C7E"/>
    <w:rsid w:val="0038417F"/>
    <w:rsid w:val="003844AE"/>
    <w:rsid w:val="003847FB"/>
    <w:rsid w:val="00384F6B"/>
    <w:rsid w:val="003850E1"/>
    <w:rsid w:val="003934C9"/>
    <w:rsid w:val="00393F1B"/>
    <w:rsid w:val="00397624"/>
    <w:rsid w:val="003A1386"/>
    <w:rsid w:val="003A341C"/>
    <w:rsid w:val="003A36E6"/>
    <w:rsid w:val="003A4125"/>
    <w:rsid w:val="003A43E2"/>
    <w:rsid w:val="003A6A21"/>
    <w:rsid w:val="003B083A"/>
    <w:rsid w:val="003B3B6B"/>
    <w:rsid w:val="003B5878"/>
    <w:rsid w:val="003B71BD"/>
    <w:rsid w:val="003C0404"/>
    <w:rsid w:val="003C119D"/>
    <w:rsid w:val="003C188A"/>
    <w:rsid w:val="003C2123"/>
    <w:rsid w:val="003C3385"/>
    <w:rsid w:val="003C3639"/>
    <w:rsid w:val="003C3872"/>
    <w:rsid w:val="003C3DEE"/>
    <w:rsid w:val="003C50E1"/>
    <w:rsid w:val="003C5437"/>
    <w:rsid w:val="003C5B9C"/>
    <w:rsid w:val="003C6B5A"/>
    <w:rsid w:val="003C785F"/>
    <w:rsid w:val="003D24A5"/>
    <w:rsid w:val="003D3678"/>
    <w:rsid w:val="003D458D"/>
    <w:rsid w:val="003D4A29"/>
    <w:rsid w:val="003E056F"/>
    <w:rsid w:val="003E29A0"/>
    <w:rsid w:val="003E3F76"/>
    <w:rsid w:val="003E4FF3"/>
    <w:rsid w:val="003E56F3"/>
    <w:rsid w:val="003F0381"/>
    <w:rsid w:val="003F16CB"/>
    <w:rsid w:val="003F1A3B"/>
    <w:rsid w:val="003F2238"/>
    <w:rsid w:val="003F54E0"/>
    <w:rsid w:val="003F6E38"/>
    <w:rsid w:val="003F7234"/>
    <w:rsid w:val="003F7FA6"/>
    <w:rsid w:val="0040072E"/>
    <w:rsid w:val="00402789"/>
    <w:rsid w:val="004047DD"/>
    <w:rsid w:val="00404802"/>
    <w:rsid w:val="00404F2A"/>
    <w:rsid w:val="004051BF"/>
    <w:rsid w:val="004064A2"/>
    <w:rsid w:val="00411745"/>
    <w:rsid w:val="00412067"/>
    <w:rsid w:val="00413190"/>
    <w:rsid w:val="00415A09"/>
    <w:rsid w:val="0041703C"/>
    <w:rsid w:val="00420828"/>
    <w:rsid w:val="00421452"/>
    <w:rsid w:val="00421459"/>
    <w:rsid w:val="004218B4"/>
    <w:rsid w:val="0042274D"/>
    <w:rsid w:val="0042707D"/>
    <w:rsid w:val="00430C40"/>
    <w:rsid w:val="00432F7F"/>
    <w:rsid w:val="00435C47"/>
    <w:rsid w:val="00435DD5"/>
    <w:rsid w:val="0043652A"/>
    <w:rsid w:val="00436CF9"/>
    <w:rsid w:val="00436D9E"/>
    <w:rsid w:val="00437979"/>
    <w:rsid w:val="0044291F"/>
    <w:rsid w:val="00444038"/>
    <w:rsid w:val="00444C9E"/>
    <w:rsid w:val="00444D86"/>
    <w:rsid w:val="004456AF"/>
    <w:rsid w:val="00447E6A"/>
    <w:rsid w:val="00450DAD"/>
    <w:rsid w:val="004554CC"/>
    <w:rsid w:val="00455F1F"/>
    <w:rsid w:val="00456506"/>
    <w:rsid w:val="0045776F"/>
    <w:rsid w:val="00460AE7"/>
    <w:rsid w:val="00463077"/>
    <w:rsid w:val="00464156"/>
    <w:rsid w:val="00464988"/>
    <w:rsid w:val="00464EE1"/>
    <w:rsid w:val="00466F66"/>
    <w:rsid w:val="00470140"/>
    <w:rsid w:val="004709BC"/>
    <w:rsid w:val="00471D2F"/>
    <w:rsid w:val="004720E0"/>
    <w:rsid w:val="00474E1A"/>
    <w:rsid w:val="004750F8"/>
    <w:rsid w:val="00475BD6"/>
    <w:rsid w:val="004773ED"/>
    <w:rsid w:val="004801D7"/>
    <w:rsid w:val="0048174A"/>
    <w:rsid w:val="00481D2C"/>
    <w:rsid w:val="00483006"/>
    <w:rsid w:val="00483A24"/>
    <w:rsid w:val="00483ED3"/>
    <w:rsid w:val="00486A0A"/>
    <w:rsid w:val="00490059"/>
    <w:rsid w:val="00490E4A"/>
    <w:rsid w:val="00491F3C"/>
    <w:rsid w:val="00492EFC"/>
    <w:rsid w:val="00494C4B"/>
    <w:rsid w:val="004959C8"/>
    <w:rsid w:val="00497042"/>
    <w:rsid w:val="00497532"/>
    <w:rsid w:val="00497B09"/>
    <w:rsid w:val="00497DDC"/>
    <w:rsid w:val="004A0022"/>
    <w:rsid w:val="004A06CF"/>
    <w:rsid w:val="004A0C89"/>
    <w:rsid w:val="004A14A9"/>
    <w:rsid w:val="004A17DD"/>
    <w:rsid w:val="004A22CF"/>
    <w:rsid w:val="004A2CB4"/>
    <w:rsid w:val="004A391D"/>
    <w:rsid w:val="004A3CF6"/>
    <w:rsid w:val="004A456A"/>
    <w:rsid w:val="004A4688"/>
    <w:rsid w:val="004A5208"/>
    <w:rsid w:val="004A59FC"/>
    <w:rsid w:val="004A5D30"/>
    <w:rsid w:val="004A6D38"/>
    <w:rsid w:val="004B0F27"/>
    <w:rsid w:val="004B3801"/>
    <w:rsid w:val="004B7733"/>
    <w:rsid w:val="004C0423"/>
    <w:rsid w:val="004C067D"/>
    <w:rsid w:val="004C140E"/>
    <w:rsid w:val="004C3683"/>
    <w:rsid w:val="004C4A79"/>
    <w:rsid w:val="004C50CA"/>
    <w:rsid w:val="004C50DA"/>
    <w:rsid w:val="004C5354"/>
    <w:rsid w:val="004D08C1"/>
    <w:rsid w:val="004D0DE1"/>
    <w:rsid w:val="004D19AF"/>
    <w:rsid w:val="004D32E4"/>
    <w:rsid w:val="004D3A78"/>
    <w:rsid w:val="004D4A23"/>
    <w:rsid w:val="004D4A4D"/>
    <w:rsid w:val="004D4E0E"/>
    <w:rsid w:val="004D77B3"/>
    <w:rsid w:val="004D7F50"/>
    <w:rsid w:val="004E14E7"/>
    <w:rsid w:val="004E1CCC"/>
    <w:rsid w:val="004E3508"/>
    <w:rsid w:val="004E37B0"/>
    <w:rsid w:val="004E432E"/>
    <w:rsid w:val="004E4D20"/>
    <w:rsid w:val="004E5126"/>
    <w:rsid w:val="004E6C78"/>
    <w:rsid w:val="004E720B"/>
    <w:rsid w:val="004F1DD9"/>
    <w:rsid w:val="004F23EB"/>
    <w:rsid w:val="004F27A5"/>
    <w:rsid w:val="004F3437"/>
    <w:rsid w:val="004F37DA"/>
    <w:rsid w:val="004F44A7"/>
    <w:rsid w:val="004F7455"/>
    <w:rsid w:val="004F77C0"/>
    <w:rsid w:val="00500049"/>
    <w:rsid w:val="00500D28"/>
    <w:rsid w:val="00501943"/>
    <w:rsid w:val="00501AB4"/>
    <w:rsid w:val="005024F0"/>
    <w:rsid w:val="0050380D"/>
    <w:rsid w:val="00503FFE"/>
    <w:rsid w:val="0050417D"/>
    <w:rsid w:val="00504DC8"/>
    <w:rsid w:val="00505441"/>
    <w:rsid w:val="00510B65"/>
    <w:rsid w:val="00511201"/>
    <w:rsid w:val="00511AA9"/>
    <w:rsid w:val="00511E65"/>
    <w:rsid w:val="0051227E"/>
    <w:rsid w:val="00512903"/>
    <w:rsid w:val="0051451A"/>
    <w:rsid w:val="005148FB"/>
    <w:rsid w:val="00514B78"/>
    <w:rsid w:val="00516799"/>
    <w:rsid w:val="005211A8"/>
    <w:rsid w:val="00521461"/>
    <w:rsid w:val="0052457E"/>
    <w:rsid w:val="00524888"/>
    <w:rsid w:val="00527461"/>
    <w:rsid w:val="00527828"/>
    <w:rsid w:val="00530149"/>
    <w:rsid w:val="0053042C"/>
    <w:rsid w:val="0053086C"/>
    <w:rsid w:val="00532048"/>
    <w:rsid w:val="0053292D"/>
    <w:rsid w:val="005337D6"/>
    <w:rsid w:val="00533F1F"/>
    <w:rsid w:val="005340FF"/>
    <w:rsid w:val="00534302"/>
    <w:rsid w:val="00534525"/>
    <w:rsid w:val="00534578"/>
    <w:rsid w:val="005348B8"/>
    <w:rsid w:val="00536E02"/>
    <w:rsid w:val="00536F65"/>
    <w:rsid w:val="00537216"/>
    <w:rsid w:val="005378F7"/>
    <w:rsid w:val="00540763"/>
    <w:rsid w:val="005419DC"/>
    <w:rsid w:val="005420B6"/>
    <w:rsid w:val="0054299E"/>
    <w:rsid w:val="00543006"/>
    <w:rsid w:val="005445E3"/>
    <w:rsid w:val="005456F3"/>
    <w:rsid w:val="00546106"/>
    <w:rsid w:val="00546543"/>
    <w:rsid w:val="0054766C"/>
    <w:rsid w:val="00547AB2"/>
    <w:rsid w:val="005501A2"/>
    <w:rsid w:val="00550870"/>
    <w:rsid w:val="005515F3"/>
    <w:rsid w:val="005521DA"/>
    <w:rsid w:val="00553C8A"/>
    <w:rsid w:val="0055582F"/>
    <w:rsid w:val="00556F78"/>
    <w:rsid w:val="00560400"/>
    <w:rsid w:val="005629DA"/>
    <w:rsid w:val="0056422E"/>
    <w:rsid w:val="0056435F"/>
    <w:rsid w:val="00564707"/>
    <w:rsid w:val="0056578A"/>
    <w:rsid w:val="00565D95"/>
    <w:rsid w:val="00566C08"/>
    <w:rsid w:val="00567A00"/>
    <w:rsid w:val="00567A78"/>
    <w:rsid w:val="0057046B"/>
    <w:rsid w:val="00570807"/>
    <w:rsid w:val="00571846"/>
    <w:rsid w:val="00573CD5"/>
    <w:rsid w:val="00573EFE"/>
    <w:rsid w:val="00573F4C"/>
    <w:rsid w:val="0057445E"/>
    <w:rsid w:val="00575DDB"/>
    <w:rsid w:val="00577669"/>
    <w:rsid w:val="005777D5"/>
    <w:rsid w:val="005804DC"/>
    <w:rsid w:val="0058054A"/>
    <w:rsid w:val="005807FB"/>
    <w:rsid w:val="00582505"/>
    <w:rsid w:val="0058319D"/>
    <w:rsid w:val="00584901"/>
    <w:rsid w:val="00584F11"/>
    <w:rsid w:val="00585B45"/>
    <w:rsid w:val="00586C09"/>
    <w:rsid w:val="0058707D"/>
    <w:rsid w:val="005876CE"/>
    <w:rsid w:val="00590756"/>
    <w:rsid w:val="00590D7B"/>
    <w:rsid w:val="0059127A"/>
    <w:rsid w:val="00591C04"/>
    <w:rsid w:val="00594DED"/>
    <w:rsid w:val="00596C02"/>
    <w:rsid w:val="00597279"/>
    <w:rsid w:val="005A0C69"/>
    <w:rsid w:val="005A1160"/>
    <w:rsid w:val="005A2782"/>
    <w:rsid w:val="005A5E0C"/>
    <w:rsid w:val="005A61DB"/>
    <w:rsid w:val="005A7AD6"/>
    <w:rsid w:val="005A7D03"/>
    <w:rsid w:val="005B0CE8"/>
    <w:rsid w:val="005B107B"/>
    <w:rsid w:val="005B17D3"/>
    <w:rsid w:val="005B21AE"/>
    <w:rsid w:val="005B2D02"/>
    <w:rsid w:val="005B3312"/>
    <w:rsid w:val="005B4081"/>
    <w:rsid w:val="005B425C"/>
    <w:rsid w:val="005B4277"/>
    <w:rsid w:val="005B4833"/>
    <w:rsid w:val="005B4B46"/>
    <w:rsid w:val="005B676C"/>
    <w:rsid w:val="005B67C0"/>
    <w:rsid w:val="005B6D7B"/>
    <w:rsid w:val="005B6E6D"/>
    <w:rsid w:val="005C0AB7"/>
    <w:rsid w:val="005C1D22"/>
    <w:rsid w:val="005C1DC8"/>
    <w:rsid w:val="005C2B79"/>
    <w:rsid w:val="005C2CAA"/>
    <w:rsid w:val="005C2FAD"/>
    <w:rsid w:val="005C41F6"/>
    <w:rsid w:val="005C5693"/>
    <w:rsid w:val="005C59B2"/>
    <w:rsid w:val="005C710B"/>
    <w:rsid w:val="005D1382"/>
    <w:rsid w:val="005D2A34"/>
    <w:rsid w:val="005D4253"/>
    <w:rsid w:val="005D48B8"/>
    <w:rsid w:val="005D51CF"/>
    <w:rsid w:val="005E116A"/>
    <w:rsid w:val="005E23D0"/>
    <w:rsid w:val="005E4109"/>
    <w:rsid w:val="005E53F0"/>
    <w:rsid w:val="005E6763"/>
    <w:rsid w:val="005F3946"/>
    <w:rsid w:val="005F443A"/>
    <w:rsid w:val="005F4523"/>
    <w:rsid w:val="005F5B8A"/>
    <w:rsid w:val="005F5E72"/>
    <w:rsid w:val="005F639E"/>
    <w:rsid w:val="0060083A"/>
    <w:rsid w:val="00602399"/>
    <w:rsid w:val="00602BDE"/>
    <w:rsid w:val="00605E13"/>
    <w:rsid w:val="00606417"/>
    <w:rsid w:val="00606A03"/>
    <w:rsid w:val="0060732D"/>
    <w:rsid w:val="00610B40"/>
    <w:rsid w:val="00613263"/>
    <w:rsid w:val="00615CD7"/>
    <w:rsid w:val="00617E2C"/>
    <w:rsid w:val="006208DA"/>
    <w:rsid w:val="0062136A"/>
    <w:rsid w:val="006213AB"/>
    <w:rsid w:val="006243EC"/>
    <w:rsid w:val="006248AF"/>
    <w:rsid w:val="00625A86"/>
    <w:rsid w:val="006262B8"/>
    <w:rsid w:val="00627160"/>
    <w:rsid w:val="00627296"/>
    <w:rsid w:val="00630D04"/>
    <w:rsid w:val="00632600"/>
    <w:rsid w:val="00632754"/>
    <w:rsid w:val="00635DFF"/>
    <w:rsid w:val="006364B2"/>
    <w:rsid w:val="006370DB"/>
    <w:rsid w:val="0063799D"/>
    <w:rsid w:val="00637EC7"/>
    <w:rsid w:val="00640CB9"/>
    <w:rsid w:val="00640E60"/>
    <w:rsid w:val="006416F5"/>
    <w:rsid w:val="00642242"/>
    <w:rsid w:val="006439EA"/>
    <w:rsid w:val="006455AD"/>
    <w:rsid w:val="00645870"/>
    <w:rsid w:val="00645E32"/>
    <w:rsid w:val="00647B42"/>
    <w:rsid w:val="00647F06"/>
    <w:rsid w:val="00650DF5"/>
    <w:rsid w:val="00651D96"/>
    <w:rsid w:val="006525BB"/>
    <w:rsid w:val="006532C3"/>
    <w:rsid w:val="00657029"/>
    <w:rsid w:val="00663813"/>
    <w:rsid w:val="006644C8"/>
    <w:rsid w:val="00664B83"/>
    <w:rsid w:val="006653E9"/>
    <w:rsid w:val="006658CF"/>
    <w:rsid w:val="006660F4"/>
    <w:rsid w:val="00666BAC"/>
    <w:rsid w:val="00667314"/>
    <w:rsid w:val="00670D73"/>
    <w:rsid w:val="006717DE"/>
    <w:rsid w:val="00673405"/>
    <w:rsid w:val="006745D7"/>
    <w:rsid w:val="00676480"/>
    <w:rsid w:val="00677399"/>
    <w:rsid w:val="00677CE4"/>
    <w:rsid w:val="00677D86"/>
    <w:rsid w:val="006802E0"/>
    <w:rsid w:val="006818F0"/>
    <w:rsid w:val="00682191"/>
    <w:rsid w:val="00682554"/>
    <w:rsid w:val="00682868"/>
    <w:rsid w:val="00682DA2"/>
    <w:rsid w:val="0068303A"/>
    <w:rsid w:val="00683E9C"/>
    <w:rsid w:val="00684232"/>
    <w:rsid w:val="00684DAD"/>
    <w:rsid w:val="00685022"/>
    <w:rsid w:val="00685473"/>
    <w:rsid w:val="006858F7"/>
    <w:rsid w:val="00686625"/>
    <w:rsid w:val="00687A88"/>
    <w:rsid w:val="0069069B"/>
    <w:rsid w:val="0069228F"/>
    <w:rsid w:val="00693685"/>
    <w:rsid w:val="00695503"/>
    <w:rsid w:val="0069557B"/>
    <w:rsid w:val="0069613C"/>
    <w:rsid w:val="00696B1C"/>
    <w:rsid w:val="00697949"/>
    <w:rsid w:val="006A0060"/>
    <w:rsid w:val="006A102E"/>
    <w:rsid w:val="006A1403"/>
    <w:rsid w:val="006A1BD6"/>
    <w:rsid w:val="006A1E0E"/>
    <w:rsid w:val="006A2D23"/>
    <w:rsid w:val="006A4C47"/>
    <w:rsid w:val="006A4F87"/>
    <w:rsid w:val="006A561F"/>
    <w:rsid w:val="006A7545"/>
    <w:rsid w:val="006B281B"/>
    <w:rsid w:val="006B469A"/>
    <w:rsid w:val="006B6198"/>
    <w:rsid w:val="006B70C8"/>
    <w:rsid w:val="006B7549"/>
    <w:rsid w:val="006C01CB"/>
    <w:rsid w:val="006C2604"/>
    <w:rsid w:val="006C26A8"/>
    <w:rsid w:val="006C2A28"/>
    <w:rsid w:val="006C465A"/>
    <w:rsid w:val="006C534D"/>
    <w:rsid w:val="006C7103"/>
    <w:rsid w:val="006C7D26"/>
    <w:rsid w:val="006D0C69"/>
    <w:rsid w:val="006D15F9"/>
    <w:rsid w:val="006D1E9D"/>
    <w:rsid w:val="006D2724"/>
    <w:rsid w:val="006D445D"/>
    <w:rsid w:val="006D4BCD"/>
    <w:rsid w:val="006D5573"/>
    <w:rsid w:val="006D6E85"/>
    <w:rsid w:val="006E0CAA"/>
    <w:rsid w:val="006E16FF"/>
    <w:rsid w:val="006E1C45"/>
    <w:rsid w:val="006E1F69"/>
    <w:rsid w:val="006E264B"/>
    <w:rsid w:val="006E2659"/>
    <w:rsid w:val="006E2AF8"/>
    <w:rsid w:val="006E3B4E"/>
    <w:rsid w:val="006E4BA0"/>
    <w:rsid w:val="006E5210"/>
    <w:rsid w:val="006E628C"/>
    <w:rsid w:val="006E641D"/>
    <w:rsid w:val="006E77BB"/>
    <w:rsid w:val="006E7D92"/>
    <w:rsid w:val="006F018B"/>
    <w:rsid w:val="006F0E7E"/>
    <w:rsid w:val="006F1989"/>
    <w:rsid w:val="006F1997"/>
    <w:rsid w:val="006F283F"/>
    <w:rsid w:val="006F2EF7"/>
    <w:rsid w:val="006F48A0"/>
    <w:rsid w:val="006F6294"/>
    <w:rsid w:val="006F6D5C"/>
    <w:rsid w:val="006F6E29"/>
    <w:rsid w:val="006F79EA"/>
    <w:rsid w:val="006F7FDE"/>
    <w:rsid w:val="0070147D"/>
    <w:rsid w:val="007015CE"/>
    <w:rsid w:val="00701AC0"/>
    <w:rsid w:val="00702099"/>
    <w:rsid w:val="00702728"/>
    <w:rsid w:val="007030DB"/>
    <w:rsid w:val="00706965"/>
    <w:rsid w:val="00706C4A"/>
    <w:rsid w:val="00706CBD"/>
    <w:rsid w:val="00710206"/>
    <w:rsid w:val="00712D05"/>
    <w:rsid w:val="007130E1"/>
    <w:rsid w:val="007148F7"/>
    <w:rsid w:val="007149E2"/>
    <w:rsid w:val="007159E0"/>
    <w:rsid w:val="00716AD4"/>
    <w:rsid w:val="00716B8F"/>
    <w:rsid w:val="00716DEB"/>
    <w:rsid w:val="00717A1E"/>
    <w:rsid w:val="00721B19"/>
    <w:rsid w:val="0072212A"/>
    <w:rsid w:val="00722816"/>
    <w:rsid w:val="00723686"/>
    <w:rsid w:val="00725BCE"/>
    <w:rsid w:val="00727874"/>
    <w:rsid w:val="00727B3C"/>
    <w:rsid w:val="00731D7F"/>
    <w:rsid w:val="00734F7A"/>
    <w:rsid w:val="00735024"/>
    <w:rsid w:val="007353B6"/>
    <w:rsid w:val="0073671C"/>
    <w:rsid w:val="007375A8"/>
    <w:rsid w:val="0073772F"/>
    <w:rsid w:val="00740075"/>
    <w:rsid w:val="00741005"/>
    <w:rsid w:val="00741740"/>
    <w:rsid w:val="00743146"/>
    <w:rsid w:val="007432BF"/>
    <w:rsid w:val="007436FE"/>
    <w:rsid w:val="00744688"/>
    <w:rsid w:val="00744F1B"/>
    <w:rsid w:val="00745208"/>
    <w:rsid w:val="007454A0"/>
    <w:rsid w:val="00745F33"/>
    <w:rsid w:val="00746BE2"/>
    <w:rsid w:val="00747900"/>
    <w:rsid w:val="00750FEC"/>
    <w:rsid w:val="00752231"/>
    <w:rsid w:val="00752777"/>
    <w:rsid w:val="00752FC3"/>
    <w:rsid w:val="00753BB6"/>
    <w:rsid w:val="007550AD"/>
    <w:rsid w:val="00755391"/>
    <w:rsid w:val="00756842"/>
    <w:rsid w:val="00757692"/>
    <w:rsid w:val="00757F83"/>
    <w:rsid w:val="00761974"/>
    <w:rsid w:val="00761A7C"/>
    <w:rsid w:val="007621F9"/>
    <w:rsid w:val="0076375F"/>
    <w:rsid w:val="0076410A"/>
    <w:rsid w:val="007642DF"/>
    <w:rsid w:val="007646BE"/>
    <w:rsid w:val="0076503D"/>
    <w:rsid w:val="0076542B"/>
    <w:rsid w:val="007706A7"/>
    <w:rsid w:val="00770930"/>
    <w:rsid w:val="007719E9"/>
    <w:rsid w:val="00771A9E"/>
    <w:rsid w:val="0077306B"/>
    <w:rsid w:val="0077393C"/>
    <w:rsid w:val="00775E37"/>
    <w:rsid w:val="00777B97"/>
    <w:rsid w:val="00780C25"/>
    <w:rsid w:val="0078111F"/>
    <w:rsid w:val="00782780"/>
    <w:rsid w:val="00784871"/>
    <w:rsid w:val="00785613"/>
    <w:rsid w:val="007863FA"/>
    <w:rsid w:val="00787408"/>
    <w:rsid w:val="00787EC3"/>
    <w:rsid w:val="00790E37"/>
    <w:rsid w:val="00792789"/>
    <w:rsid w:val="007927E8"/>
    <w:rsid w:val="00793988"/>
    <w:rsid w:val="00793C53"/>
    <w:rsid w:val="00794F3A"/>
    <w:rsid w:val="00795326"/>
    <w:rsid w:val="00795EEB"/>
    <w:rsid w:val="007A095E"/>
    <w:rsid w:val="007A11C6"/>
    <w:rsid w:val="007A4868"/>
    <w:rsid w:val="007A5D2B"/>
    <w:rsid w:val="007A6BDA"/>
    <w:rsid w:val="007A7C62"/>
    <w:rsid w:val="007B1D46"/>
    <w:rsid w:val="007B23F8"/>
    <w:rsid w:val="007B2DA6"/>
    <w:rsid w:val="007B3067"/>
    <w:rsid w:val="007B3466"/>
    <w:rsid w:val="007B4143"/>
    <w:rsid w:val="007B5125"/>
    <w:rsid w:val="007B5F68"/>
    <w:rsid w:val="007B7608"/>
    <w:rsid w:val="007C5EBD"/>
    <w:rsid w:val="007C6233"/>
    <w:rsid w:val="007C7DEA"/>
    <w:rsid w:val="007D01ED"/>
    <w:rsid w:val="007D2EDC"/>
    <w:rsid w:val="007D4F16"/>
    <w:rsid w:val="007D500B"/>
    <w:rsid w:val="007D5221"/>
    <w:rsid w:val="007D7670"/>
    <w:rsid w:val="007E12FE"/>
    <w:rsid w:val="007E1468"/>
    <w:rsid w:val="007E1F8E"/>
    <w:rsid w:val="007E42AC"/>
    <w:rsid w:val="007E776A"/>
    <w:rsid w:val="007E7B6C"/>
    <w:rsid w:val="007F1735"/>
    <w:rsid w:val="007F23EC"/>
    <w:rsid w:val="007F24AD"/>
    <w:rsid w:val="007F250A"/>
    <w:rsid w:val="007F6098"/>
    <w:rsid w:val="007F690E"/>
    <w:rsid w:val="007F69DB"/>
    <w:rsid w:val="007F7C8D"/>
    <w:rsid w:val="00800017"/>
    <w:rsid w:val="008039A7"/>
    <w:rsid w:val="00803D0A"/>
    <w:rsid w:val="00805127"/>
    <w:rsid w:val="00805A5F"/>
    <w:rsid w:val="00806039"/>
    <w:rsid w:val="008107A6"/>
    <w:rsid w:val="008120DB"/>
    <w:rsid w:val="00812DB3"/>
    <w:rsid w:val="008136B0"/>
    <w:rsid w:val="0081525B"/>
    <w:rsid w:val="00815413"/>
    <w:rsid w:val="00816B16"/>
    <w:rsid w:val="0081705A"/>
    <w:rsid w:val="008229FC"/>
    <w:rsid w:val="008230AC"/>
    <w:rsid w:val="00823DC1"/>
    <w:rsid w:val="00825665"/>
    <w:rsid w:val="008265B5"/>
    <w:rsid w:val="0082666C"/>
    <w:rsid w:val="008312DA"/>
    <w:rsid w:val="0083134A"/>
    <w:rsid w:val="00831D5E"/>
    <w:rsid w:val="008333A3"/>
    <w:rsid w:val="00834680"/>
    <w:rsid w:val="008353DB"/>
    <w:rsid w:val="00835554"/>
    <w:rsid w:val="00835B34"/>
    <w:rsid w:val="00836F52"/>
    <w:rsid w:val="00837310"/>
    <w:rsid w:val="0084219C"/>
    <w:rsid w:val="008438DD"/>
    <w:rsid w:val="00843972"/>
    <w:rsid w:val="0084451E"/>
    <w:rsid w:val="008462EC"/>
    <w:rsid w:val="00846CBF"/>
    <w:rsid w:val="0084750C"/>
    <w:rsid w:val="00851964"/>
    <w:rsid w:val="00851E6B"/>
    <w:rsid w:val="00852BC4"/>
    <w:rsid w:val="00853EE1"/>
    <w:rsid w:val="00854287"/>
    <w:rsid w:val="008542D9"/>
    <w:rsid w:val="008551A1"/>
    <w:rsid w:val="00857CA5"/>
    <w:rsid w:val="0086057F"/>
    <w:rsid w:val="008606D5"/>
    <w:rsid w:val="00864586"/>
    <w:rsid w:val="0086474B"/>
    <w:rsid w:val="00864796"/>
    <w:rsid w:val="00865AEC"/>
    <w:rsid w:val="00866168"/>
    <w:rsid w:val="008665CB"/>
    <w:rsid w:val="00870445"/>
    <w:rsid w:val="00871398"/>
    <w:rsid w:val="008740C9"/>
    <w:rsid w:val="008743E5"/>
    <w:rsid w:val="00875326"/>
    <w:rsid w:val="00875C82"/>
    <w:rsid w:val="00877E37"/>
    <w:rsid w:val="0088018E"/>
    <w:rsid w:val="00880824"/>
    <w:rsid w:val="00881467"/>
    <w:rsid w:val="00883D25"/>
    <w:rsid w:val="0088400B"/>
    <w:rsid w:val="00884874"/>
    <w:rsid w:val="0088505D"/>
    <w:rsid w:val="008870A6"/>
    <w:rsid w:val="00887E49"/>
    <w:rsid w:val="0089039B"/>
    <w:rsid w:val="00893119"/>
    <w:rsid w:val="00893A3F"/>
    <w:rsid w:val="00893B19"/>
    <w:rsid w:val="00893F6C"/>
    <w:rsid w:val="0089425E"/>
    <w:rsid w:val="008956DC"/>
    <w:rsid w:val="0089720C"/>
    <w:rsid w:val="008A19F8"/>
    <w:rsid w:val="008A1FDB"/>
    <w:rsid w:val="008A24D6"/>
    <w:rsid w:val="008A3FA9"/>
    <w:rsid w:val="008A43A9"/>
    <w:rsid w:val="008A44B6"/>
    <w:rsid w:val="008A482C"/>
    <w:rsid w:val="008A4922"/>
    <w:rsid w:val="008A495C"/>
    <w:rsid w:val="008A4E68"/>
    <w:rsid w:val="008A5836"/>
    <w:rsid w:val="008A61EF"/>
    <w:rsid w:val="008B05CE"/>
    <w:rsid w:val="008B08AA"/>
    <w:rsid w:val="008B27BE"/>
    <w:rsid w:val="008B50FE"/>
    <w:rsid w:val="008B5E5A"/>
    <w:rsid w:val="008B5E9B"/>
    <w:rsid w:val="008B7C74"/>
    <w:rsid w:val="008C1547"/>
    <w:rsid w:val="008C202F"/>
    <w:rsid w:val="008C39DC"/>
    <w:rsid w:val="008C5989"/>
    <w:rsid w:val="008C63C2"/>
    <w:rsid w:val="008D0CAC"/>
    <w:rsid w:val="008D1876"/>
    <w:rsid w:val="008D2237"/>
    <w:rsid w:val="008D2F1C"/>
    <w:rsid w:val="008E1076"/>
    <w:rsid w:val="008E12B0"/>
    <w:rsid w:val="008E270F"/>
    <w:rsid w:val="008E42E5"/>
    <w:rsid w:val="008E4F56"/>
    <w:rsid w:val="008E694D"/>
    <w:rsid w:val="008E6C87"/>
    <w:rsid w:val="008E719D"/>
    <w:rsid w:val="008F24DB"/>
    <w:rsid w:val="008F2956"/>
    <w:rsid w:val="008F490F"/>
    <w:rsid w:val="008F55BA"/>
    <w:rsid w:val="008F5FF6"/>
    <w:rsid w:val="009000B2"/>
    <w:rsid w:val="009015F5"/>
    <w:rsid w:val="00901CD0"/>
    <w:rsid w:val="00902027"/>
    <w:rsid w:val="00903390"/>
    <w:rsid w:val="009060C7"/>
    <w:rsid w:val="00907ABA"/>
    <w:rsid w:val="00911564"/>
    <w:rsid w:val="00912872"/>
    <w:rsid w:val="00914C7F"/>
    <w:rsid w:val="00915476"/>
    <w:rsid w:val="009164E9"/>
    <w:rsid w:val="009166C5"/>
    <w:rsid w:val="00921EE7"/>
    <w:rsid w:val="009228E4"/>
    <w:rsid w:val="00923A85"/>
    <w:rsid w:val="00923E53"/>
    <w:rsid w:val="00924432"/>
    <w:rsid w:val="009244C5"/>
    <w:rsid w:val="00925921"/>
    <w:rsid w:val="00926A27"/>
    <w:rsid w:val="0092798E"/>
    <w:rsid w:val="00930296"/>
    <w:rsid w:val="0093168E"/>
    <w:rsid w:val="00932156"/>
    <w:rsid w:val="009322C3"/>
    <w:rsid w:val="00932693"/>
    <w:rsid w:val="00933896"/>
    <w:rsid w:val="00933C96"/>
    <w:rsid w:val="00936049"/>
    <w:rsid w:val="0094051F"/>
    <w:rsid w:val="00944CCD"/>
    <w:rsid w:val="00945AB0"/>
    <w:rsid w:val="00946366"/>
    <w:rsid w:val="00946F5C"/>
    <w:rsid w:val="009477C1"/>
    <w:rsid w:val="00947FA6"/>
    <w:rsid w:val="00951228"/>
    <w:rsid w:val="00954084"/>
    <w:rsid w:val="00954B25"/>
    <w:rsid w:val="00954CF0"/>
    <w:rsid w:val="00955516"/>
    <w:rsid w:val="00960EC0"/>
    <w:rsid w:val="009627F8"/>
    <w:rsid w:val="0097488A"/>
    <w:rsid w:val="00974BBC"/>
    <w:rsid w:val="00976592"/>
    <w:rsid w:val="00976CF7"/>
    <w:rsid w:val="009777B0"/>
    <w:rsid w:val="00977CD5"/>
    <w:rsid w:val="00980798"/>
    <w:rsid w:val="00981CC0"/>
    <w:rsid w:val="00982403"/>
    <w:rsid w:val="00983C06"/>
    <w:rsid w:val="009850CB"/>
    <w:rsid w:val="009854B2"/>
    <w:rsid w:val="009863A1"/>
    <w:rsid w:val="00986BA1"/>
    <w:rsid w:val="00987189"/>
    <w:rsid w:val="009902EB"/>
    <w:rsid w:val="00990398"/>
    <w:rsid w:val="009909F8"/>
    <w:rsid w:val="00991CAB"/>
    <w:rsid w:val="00992AC1"/>
    <w:rsid w:val="00993128"/>
    <w:rsid w:val="009938A4"/>
    <w:rsid w:val="009968BE"/>
    <w:rsid w:val="00997F10"/>
    <w:rsid w:val="009A01E4"/>
    <w:rsid w:val="009A03C0"/>
    <w:rsid w:val="009A0607"/>
    <w:rsid w:val="009A19C0"/>
    <w:rsid w:val="009A294B"/>
    <w:rsid w:val="009A2B9E"/>
    <w:rsid w:val="009A348F"/>
    <w:rsid w:val="009A54D6"/>
    <w:rsid w:val="009A6F47"/>
    <w:rsid w:val="009A7064"/>
    <w:rsid w:val="009B022E"/>
    <w:rsid w:val="009B2519"/>
    <w:rsid w:val="009B4266"/>
    <w:rsid w:val="009B57AE"/>
    <w:rsid w:val="009B5D8A"/>
    <w:rsid w:val="009B6305"/>
    <w:rsid w:val="009B6C21"/>
    <w:rsid w:val="009C0AC2"/>
    <w:rsid w:val="009C1CCF"/>
    <w:rsid w:val="009C2D99"/>
    <w:rsid w:val="009C5670"/>
    <w:rsid w:val="009D014E"/>
    <w:rsid w:val="009D1EC4"/>
    <w:rsid w:val="009D270A"/>
    <w:rsid w:val="009D2A73"/>
    <w:rsid w:val="009D2DA5"/>
    <w:rsid w:val="009D4A4A"/>
    <w:rsid w:val="009D4B9B"/>
    <w:rsid w:val="009D5A46"/>
    <w:rsid w:val="009D6D0B"/>
    <w:rsid w:val="009E05D4"/>
    <w:rsid w:val="009E1887"/>
    <w:rsid w:val="009E1E23"/>
    <w:rsid w:val="009E2EFC"/>
    <w:rsid w:val="009E2F6C"/>
    <w:rsid w:val="009E31E5"/>
    <w:rsid w:val="009E77FA"/>
    <w:rsid w:val="009E7CB2"/>
    <w:rsid w:val="009F1227"/>
    <w:rsid w:val="009F153D"/>
    <w:rsid w:val="009F2208"/>
    <w:rsid w:val="009F30A3"/>
    <w:rsid w:val="009F4101"/>
    <w:rsid w:val="009F426B"/>
    <w:rsid w:val="009F5067"/>
    <w:rsid w:val="009F524B"/>
    <w:rsid w:val="009F7009"/>
    <w:rsid w:val="00A0038F"/>
    <w:rsid w:val="00A00508"/>
    <w:rsid w:val="00A0185E"/>
    <w:rsid w:val="00A046F9"/>
    <w:rsid w:val="00A04DE5"/>
    <w:rsid w:val="00A05B7D"/>
    <w:rsid w:val="00A05F0D"/>
    <w:rsid w:val="00A06758"/>
    <w:rsid w:val="00A07062"/>
    <w:rsid w:val="00A10245"/>
    <w:rsid w:val="00A10AA3"/>
    <w:rsid w:val="00A11187"/>
    <w:rsid w:val="00A12572"/>
    <w:rsid w:val="00A14245"/>
    <w:rsid w:val="00A14385"/>
    <w:rsid w:val="00A155F5"/>
    <w:rsid w:val="00A23200"/>
    <w:rsid w:val="00A23B8C"/>
    <w:rsid w:val="00A24AA1"/>
    <w:rsid w:val="00A24CEF"/>
    <w:rsid w:val="00A267BB"/>
    <w:rsid w:val="00A26C85"/>
    <w:rsid w:val="00A27E21"/>
    <w:rsid w:val="00A3193F"/>
    <w:rsid w:val="00A31F3F"/>
    <w:rsid w:val="00A32978"/>
    <w:rsid w:val="00A33DC2"/>
    <w:rsid w:val="00A34970"/>
    <w:rsid w:val="00A34EF1"/>
    <w:rsid w:val="00A35404"/>
    <w:rsid w:val="00A355A5"/>
    <w:rsid w:val="00A355E5"/>
    <w:rsid w:val="00A373B5"/>
    <w:rsid w:val="00A37921"/>
    <w:rsid w:val="00A40646"/>
    <w:rsid w:val="00A40B38"/>
    <w:rsid w:val="00A42215"/>
    <w:rsid w:val="00A423F5"/>
    <w:rsid w:val="00A42B9D"/>
    <w:rsid w:val="00A4334A"/>
    <w:rsid w:val="00A4483A"/>
    <w:rsid w:val="00A4722E"/>
    <w:rsid w:val="00A47303"/>
    <w:rsid w:val="00A4747F"/>
    <w:rsid w:val="00A51295"/>
    <w:rsid w:val="00A52C97"/>
    <w:rsid w:val="00A54679"/>
    <w:rsid w:val="00A54935"/>
    <w:rsid w:val="00A54E68"/>
    <w:rsid w:val="00A57731"/>
    <w:rsid w:val="00A57F25"/>
    <w:rsid w:val="00A6188C"/>
    <w:rsid w:val="00A62D04"/>
    <w:rsid w:val="00A63CCC"/>
    <w:rsid w:val="00A66A04"/>
    <w:rsid w:val="00A7274D"/>
    <w:rsid w:val="00A760F9"/>
    <w:rsid w:val="00A76744"/>
    <w:rsid w:val="00A7765A"/>
    <w:rsid w:val="00A80355"/>
    <w:rsid w:val="00A80397"/>
    <w:rsid w:val="00A80CEA"/>
    <w:rsid w:val="00A80F1D"/>
    <w:rsid w:val="00A826C9"/>
    <w:rsid w:val="00A85564"/>
    <w:rsid w:val="00A86EE9"/>
    <w:rsid w:val="00A87855"/>
    <w:rsid w:val="00A912F0"/>
    <w:rsid w:val="00A92407"/>
    <w:rsid w:val="00A930D4"/>
    <w:rsid w:val="00A93874"/>
    <w:rsid w:val="00A94185"/>
    <w:rsid w:val="00A951F3"/>
    <w:rsid w:val="00A964CC"/>
    <w:rsid w:val="00A96E58"/>
    <w:rsid w:val="00AA227F"/>
    <w:rsid w:val="00AA38E9"/>
    <w:rsid w:val="00AA5673"/>
    <w:rsid w:val="00AA6AC3"/>
    <w:rsid w:val="00AA7C4E"/>
    <w:rsid w:val="00AB05FE"/>
    <w:rsid w:val="00AB0D02"/>
    <w:rsid w:val="00AB1006"/>
    <w:rsid w:val="00AB27D4"/>
    <w:rsid w:val="00AB5315"/>
    <w:rsid w:val="00AB53B3"/>
    <w:rsid w:val="00AB565C"/>
    <w:rsid w:val="00AB58F8"/>
    <w:rsid w:val="00AC016C"/>
    <w:rsid w:val="00AC0830"/>
    <w:rsid w:val="00AC0D69"/>
    <w:rsid w:val="00AC127A"/>
    <w:rsid w:val="00AC14F9"/>
    <w:rsid w:val="00AC1E5E"/>
    <w:rsid w:val="00AC2223"/>
    <w:rsid w:val="00AC2EE1"/>
    <w:rsid w:val="00AC3C10"/>
    <w:rsid w:val="00AC56FA"/>
    <w:rsid w:val="00AD3A77"/>
    <w:rsid w:val="00AD443F"/>
    <w:rsid w:val="00AD659D"/>
    <w:rsid w:val="00AE043D"/>
    <w:rsid w:val="00AE0519"/>
    <w:rsid w:val="00AE0586"/>
    <w:rsid w:val="00AE09DD"/>
    <w:rsid w:val="00AE0E93"/>
    <w:rsid w:val="00AE20F9"/>
    <w:rsid w:val="00AE68F6"/>
    <w:rsid w:val="00AE69A9"/>
    <w:rsid w:val="00AE7750"/>
    <w:rsid w:val="00AF0889"/>
    <w:rsid w:val="00AF2D72"/>
    <w:rsid w:val="00AF30C3"/>
    <w:rsid w:val="00AF3935"/>
    <w:rsid w:val="00AF4271"/>
    <w:rsid w:val="00AF4928"/>
    <w:rsid w:val="00AF4B9F"/>
    <w:rsid w:val="00AF55EB"/>
    <w:rsid w:val="00AF5C37"/>
    <w:rsid w:val="00AF6612"/>
    <w:rsid w:val="00AF7FC1"/>
    <w:rsid w:val="00B0384D"/>
    <w:rsid w:val="00B03C56"/>
    <w:rsid w:val="00B03C5B"/>
    <w:rsid w:val="00B0449C"/>
    <w:rsid w:val="00B05334"/>
    <w:rsid w:val="00B06888"/>
    <w:rsid w:val="00B07991"/>
    <w:rsid w:val="00B07F4F"/>
    <w:rsid w:val="00B10A9D"/>
    <w:rsid w:val="00B13844"/>
    <w:rsid w:val="00B17040"/>
    <w:rsid w:val="00B2225E"/>
    <w:rsid w:val="00B2235B"/>
    <w:rsid w:val="00B24297"/>
    <w:rsid w:val="00B2485E"/>
    <w:rsid w:val="00B257ED"/>
    <w:rsid w:val="00B261EB"/>
    <w:rsid w:val="00B334E2"/>
    <w:rsid w:val="00B35947"/>
    <w:rsid w:val="00B366FA"/>
    <w:rsid w:val="00B37205"/>
    <w:rsid w:val="00B37A0F"/>
    <w:rsid w:val="00B406A9"/>
    <w:rsid w:val="00B41A62"/>
    <w:rsid w:val="00B4209B"/>
    <w:rsid w:val="00B44E69"/>
    <w:rsid w:val="00B450F0"/>
    <w:rsid w:val="00B45590"/>
    <w:rsid w:val="00B47D6D"/>
    <w:rsid w:val="00B5153F"/>
    <w:rsid w:val="00B52C15"/>
    <w:rsid w:val="00B53F86"/>
    <w:rsid w:val="00B55BA1"/>
    <w:rsid w:val="00B57C10"/>
    <w:rsid w:val="00B6043B"/>
    <w:rsid w:val="00B614E0"/>
    <w:rsid w:val="00B61A09"/>
    <w:rsid w:val="00B61B9A"/>
    <w:rsid w:val="00B62728"/>
    <w:rsid w:val="00B629CA"/>
    <w:rsid w:val="00B6329F"/>
    <w:rsid w:val="00B63E46"/>
    <w:rsid w:val="00B64C69"/>
    <w:rsid w:val="00B65487"/>
    <w:rsid w:val="00B6558B"/>
    <w:rsid w:val="00B7098F"/>
    <w:rsid w:val="00B73165"/>
    <w:rsid w:val="00B7379A"/>
    <w:rsid w:val="00B73DE9"/>
    <w:rsid w:val="00B74403"/>
    <w:rsid w:val="00B754E7"/>
    <w:rsid w:val="00B76760"/>
    <w:rsid w:val="00B7782D"/>
    <w:rsid w:val="00B77A4F"/>
    <w:rsid w:val="00B803E3"/>
    <w:rsid w:val="00B81242"/>
    <w:rsid w:val="00B81B03"/>
    <w:rsid w:val="00B8228A"/>
    <w:rsid w:val="00B85C48"/>
    <w:rsid w:val="00B87CE2"/>
    <w:rsid w:val="00B90BCD"/>
    <w:rsid w:val="00B90DB4"/>
    <w:rsid w:val="00B920A9"/>
    <w:rsid w:val="00B937A9"/>
    <w:rsid w:val="00B93BCF"/>
    <w:rsid w:val="00B946F2"/>
    <w:rsid w:val="00B94B6A"/>
    <w:rsid w:val="00B951AD"/>
    <w:rsid w:val="00BA0176"/>
    <w:rsid w:val="00BA03C4"/>
    <w:rsid w:val="00BA250C"/>
    <w:rsid w:val="00BA293D"/>
    <w:rsid w:val="00BA345B"/>
    <w:rsid w:val="00BA391C"/>
    <w:rsid w:val="00BA3C0F"/>
    <w:rsid w:val="00BA4481"/>
    <w:rsid w:val="00BA4516"/>
    <w:rsid w:val="00BA6B05"/>
    <w:rsid w:val="00BA6C08"/>
    <w:rsid w:val="00BA6DFB"/>
    <w:rsid w:val="00BA728D"/>
    <w:rsid w:val="00BA77B8"/>
    <w:rsid w:val="00BA7E55"/>
    <w:rsid w:val="00BB17B3"/>
    <w:rsid w:val="00BB31BC"/>
    <w:rsid w:val="00BB4A5D"/>
    <w:rsid w:val="00BB4B80"/>
    <w:rsid w:val="00BB5BC3"/>
    <w:rsid w:val="00BB5C78"/>
    <w:rsid w:val="00BB5E44"/>
    <w:rsid w:val="00BB6AF6"/>
    <w:rsid w:val="00BB75F4"/>
    <w:rsid w:val="00BC0D59"/>
    <w:rsid w:val="00BC102F"/>
    <w:rsid w:val="00BC1B3D"/>
    <w:rsid w:val="00BC2F52"/>
    <w:rsid w:val="00BC34A5"/>
    <w:rsid w:val="00BC3686"/>
    <w:rsid w:val="00BC3958"/>
    <w:rsid w:val="00BC47FE"/>
    <w:rsid w:val="00BC6064"/>
    <w:rsid w:val="00BD30DB"/>
    <w:rsid w:val="00BD36ED"/>
    <w:rsid w:val="00BD39EB"/>
    <w:rsid w:val="00BD411F"/>
    <w:rsid w:val="00BD4679"/>
    <w:rsid w:val="00BD619F"/>
    <w:rsid w:val="00BD6297"/>
    <w:rsid w:val="00BD6E0B"/>
    <w:rsid w:val="00BD7F1E"/>
    <w:rsid w:val="00BE0CF6"/>
    <w:rsid w:val="00BE0E67"/>
    <w:rsid w:val="00BE289B"/>
    <w:rsid w:val="00BE38A0"/>
    <w:rsid w:val="00BE3C46"/>
    <w:rsid w:val="00BE4A30"/>
    <w:rsid w:val="00BE54BF"/>
    <w:rsid w:val="00BE5F2E"/>
    <w:rsid w:val="00BE67BA"/>
    <w:rsid w:val="00BE7EFF"/>
    <w:rsid w:val="00BF08CE"/>
    <w:rsid w:val="00BF19C6"/>
    <w:rsid w:val="00BF1B0F"/>
    <w:rsid w:val="00BF5220"/>
    <w:rsid w:val="00BF7B7B"/>
    <w:rsid w:val="00C000AE"/>
    <w:rsid w:val="00C0025E"/>
    <w:rsid w:val="00C00691"/>
    <w:rsid w:val="00C01A8F"/>
    <w:rsid w:val="00C01E7E"/>
    <w:rsid w:val="00C02D7E"/>
    <w:rsid w:val="00C03043"/>
    <w:rsid w:val="00C037EF"/>
    <w:rsid w:val="00C045CB"/>
    <w:rsid w:val="00C05391"/>
    <w:rsid w:val="00C06070"/>
    <w:rsid w:val="00C0616A"/>
    <w:rsid w:val="00C075B0"/>
    <w:rsid w:val="00C1041B"/>
    <w:rsid w:val="00C10DF1"/>
    <w:rsid w:val="00C12225"/>
    <w:rsid w:val="00C1435F"/>
    <w:rsid w:val="00C158D0"/>
    <w:rsid w:val="00C15D84"/>
    <w:rsid w:val="00C172BF"/>
    <w:rsid w:val="00C21610"/>
    <w:rsid w:val="00C23081"/>
    <w:rsid w:val="00C2339D"/>
    <w:rsid w:val="00C237D0"/>
    <w:rsid w:val="00C23DC7"/>
    <w:rsid w:val="00C23FCC"/>
    <w:rsid w:val="00C254D2"/>
    <w:rsid w:val="00C258D0"/>
    <w:rsid w:val="00C27119"/>
    <w:rsid w:val="00C30881"/>
    <w:rsid w:val="00C32BCA"/>
    <w:rsid w:val="00C34600"/>
    <w:rsid w:val="00C36DE3"/>
    <w:rsid w:val="00C37546"/>
    <w:rsid w:val="00C400E0"/>
    <w:rsid w:val="00C404CA"/>
    <w:rsid w:val="00C40A23"/>
    <w:rsid w:val="00C40D16"/>
    <w:rsid w:val="00C41B9B"/>
    <w:rsid w:val="00C41DEF"/>
    <w:rsid w:val="00C4513F"/>
    <w:rsid w:val="00C46DC1"/>
    <w:rsid w:val="00C504FE"/>
    <w:rsid w:val="00C516BB"/>
    <w:rsid w:val="00C52788"/>
    <w:rsid w:val="00C54090"/>
    <w:rsid w:val="00C559D4"/>
    <w:rsid w:val="00C55B28"/>
    <w:rsid w:val="00C56800"/>
    <w:rsid w:val="00C571CC"/>
    <w:rsid w:val="00C57CB2"/>
    <w:rsid w:val="00C608E7"/>
    <w:rsid w:val="00C610FC"/>
    <w:rsid w:val="00C612C2"/>
    <w:rsid w:val="00C6265B"/>
    <w:rsid w:val="00C64081"/>
    <w:rsid w:val="00C65400"/>
    <w:rsid w:val="00C657D8"/>
    <w:rsid w:val="00C6709E"/>
    <w:rsid w:val="00C67274"/>
    <w:rsid w:val="00C6759C"/>
    <w:rsid w:val="00C67BF2"/>
    <w:rsid w:val="00C708D8"/>
    <w:rsid w:val="00C711E5"/>
    <w:rsid w:val="00C7133C"/>
    <w:rsid w:val="00C71B90"/>
    <w:rsid w:val="00C7543B"/>
    <w:rsid w:val="00C7593A"/>
    <w:rsid w:val="00C76203"/>
    <w:rsid w:val="00C80B1D"/>
    <w:rsid w:val="00C80F28"/>
    <w:rsid w:val="00C81F04"/>
    <w:rsid w:val="00C826FD"/>
    <w:rsid w:val="00C8546D"/>
    <w:rsid w:val="00C85F18"/>
    <w:rsid w:val="00C8652B"/>
    <w:rsid w:val="00C86BC7"/>
    <w:rsid w:val="00C90395"/>
    <w:rsid w:val="00C906C2"/>
    <w:rsid w:val="00C911CE"/>
    <w:rsid w:val="00C967EB"/>
    <w:rsid w:val="00C96D3C"/>
    <w:rsid w:val="00C96E33"/>
    <w:rsid w:val="00C973B2"/>
    <w:rsid w:val="00C974CF"/>
    <w:rsid w:val="00CA09E5"/>
    <w:rsid w:val="00CA14A1"/>
    <w:rsid w:val="00CA3BEB"/>
    <w:rsid w:val="00CA72F1"/>
    <w:rsid w:val="00CB09F8"/>
    <w:rsid w:val="00CB0D95"/>
    <w:rsid w:val="00CB124D"/>
    <w:rsid w:val="00CB298B"/>
    <w:rsid w:val="00CB2AE0"/>
    <w:rsid w:val="00CB3543"/>
    <w:rsid w:val="00CB471C"/>
    <w:rsid w:val="00CB63EF"/>
    <w:rsid w:val="00CB7921"/>
    <w:rsid w:val="00CC053F"/>
    <w:rsid w:val="00CC1B6B"/>
    <w:rsid w:val="00CC1FE9"/>
    <w:rsid w:val="00CC2CA3"/>
    <w:rsid w:val="00CC335D"/>
    <w:rsid w:val="00CC4BC1"/>
    <w:rsid w:val="00CC5AFF"/>
    <w:rsid w:val="00CC731B"/>
    <w:rsid w:val="00CC7706"/>
    <w:rsid w:val="00CD2366"/>
    <w:rsid w:val="00CD2658"/>
    <w:rsid w:val="00CD28BF"/>
    <w:rsid w:val="00CD37CD"/>
    <w:rsid w:val="00CD4994"/>
    <w:rsid w:val="00CD565C"/>
    <w:rsid w:val="00CD6B8D"/>
    <w:rsid w:val="00CD7080"/>
    <w:rsid w:val="00CD7189"/>
    <w:rsid w:val="00CD74B5"/>
    <w:rsid w:val="00CD7976"/>
    <w:rsid w:val="00CD799D"/>
    <w:rsid w:val="00CE0762"/>
    <w:rsid w:val="00CE2032"/>
    <w:rsid w:val="00CE217E"/>
    <w:rsid w:val="00CE271D"/>
    <w:rsid w:val="00CE3186"/>
    <w:rsid w:val="00CE348A"/>
    <w:rsid w:val="00CE4635"/>
    <w:rsid w:val="00CE4BEB"/>
    <w:rsid w:val="00CE5567"/>
    <w:rsid w:val="00CF1B60"/>
    <w:rsid w:val="00CF23D2"/>
    <w:rsid w:val="00CF3293"/>
    <w:rsid w:val="00CF52D8"/>
    <w:rsid w:val="00CF5438"/>
    <w:rsid w:val="00CF5BB7"/>
    <w:rsid w:val="00CF5C7B"/>
    <w:rsid w:val="00D003EE"/>
    <w:rsid w:val="00D01B44"/>
    <w:rsid w:val="00D02439"/>
    <w:rsid w:val="00D04827"/>
    <w:rsid w:val="00D0495E"/>
    <w:rsid w:val="00D1107B"/>
    <w:rsid w:val="00D11282"/>
    <w:rsid w:val="00D11A8D"/>
    <w:rsid w:val="00D11B6E"/>
    <w:rsid w:val="00D15B69"/>
    <w:rsid w:val="00D16C82"/>
    <w:rsid w:val="00D20EF6"/>
    <w:rsid w:val="00D22D95"/>
    <w:rsid w:val="00D23190"/>
    <w:rsid w:val="00D24ED7"/>
    <w:rsid w:val="00D251D9"/>
    <w:rsid w:val="00D257BF"/>
    <w:rsid w:val="00D257C0"/>
    <w:rsid w:val="00D25D8C"/>
    <w:rsid w:val="00D26AB7"/>
    <w:rsid w:val="00D30007"/>
    <w:rsid w:val="00D3024B"/>
    <w:rsid w:val="00D33327"/>
    <w:rsid w:val="00D33ABD"/>
    <w:rsid w:val="00D3534F"/>
    <w:rsid w:val="00D36252"/>
    <w:rsid w:val="00D36660"/>
    <w:rsid w:val="00D37439"/>
    <w:rsid w:val="00D407AB"/>
    <w:rsid w:val="00D41AB3"/>
    <w:rsid w:val="00D42914"/>
    <w:rsid w:val="00D42B31"/>
    <w:rsid w:val="00D443EF"/>
    <w:rsid w:val="00D45348"/>
    <w:rsid w:val="00D508F5"/>
    <w:rsid w:val="00D51BC4"/>
    <w:rsid w:val="00D51BDE"/>
    <w:rsid w:val="00D5292E"/>
    <w:rsid w:val="00D52DA7"/>
    <w:rsid w:val="00D53C43"/>
    <w:rsid w:val="00D54C53"/>
    <w:rsid w:val="00D55357"/>
    <w:rsid w:val="00D56BE2"/>
    <w:rsid w:val="00D57159"/>
    <w:rsid w:val="00D57F04"/>
    <w:rsid w:val="00D60C22"/>
    <w:rsid w:val="00D61BB0"/>
    <w:rsid w:val="00D61E63"/>
    <w:rsid w:val="00D63252"/>
    <w:rsid w:val="00D63AE0"/>
    <w:rsid w:val="00D647EE"/>
    <w:rsid w:val="00D652BE"/>
    <w:rsid w:val="00D655FB"/>
    <w:rsid w:val="00D6587B"/>
    <w:rsid w:val="00D7028C"/>
    <w:rsid w:val="00D705C4"/>
    <w:rsid w:val="00D719A7"/>
    <w:rsid w:val="00D72C37"/>
    <w:rsid w:val="00D75DE2"/>
    <w:rsid w:val="00D765C7"/>
    <w:rsid w:val="00D80B6C"/>
    <w:rsid w:val="00D80E40"/>
    <w:rsid w:val="00D823DD"/>
    <w:rsid w:val="00D82724"/>
    <w:rsid w:val="00D8332D"/>
    <w:rsid w:val="00D834DD"/>
    <w:rsid w:val="00D84614"/>
    <w:rsid w:val="00D84986"/>
    <w:rsid w:val="00D84C83"/>
    <w:rsid w:val="00D8530F"/>
    <w:rsid w:val="00D906CE"/>
    <w:rsid w:val="00D91616"/>
    <w:rsid w:val="00D937B0"/>
    <w:rsid w:val="00D93DBC"/>
    <w:rsid w:val="00D9410F"/>
    <w:rsid w:val="00D94847"/>
    <w:rsid w:val="00D94AA8"/>
    <w:rsid w:val="00D950FE"/>
    <w:rsid w:val="00D959C2"/>
    <w:rsid w:val="00D97194"/>
    <w:rsid w:val="00DA05E0"/>
    <w:rsid w:val="00DA2C04"/>
    <w:rsid w:val="00DA3539"/>
    <w:rsid w:val="00DA3ADD"/>
    <w:rsid w:val="00DA3D00"/>
    <w:rsid w:val="00DA50E2"/>
    <w:rsid w:val="00DA633B"/>
    <w:rsid w:val="00DA6347"/>
    <w:rsid w:val="00DA77F4"/>
    <w:rsid w:val="00DB0614"/>
    <w:rsid w:val="00DB09B4"/>
    <w:rsid w:val="00DB0FE0"/>
    <w:rsid w:val="00DB1160"/>
    <w:rsid w:val="00DB1B9F"/>
    <w:rsid w:val="00DB1DB8"/>
    <w:rsid w:val="00DB1EBC"/>
    <w:rsid w:val="00DB24A0"/>
    <w:rsid w:val="00DB31DD"/>
    <w:rsid w:val="00DB521C"/>
    <w:rsid w:val="00DB5F0C"/>
    <w:rsid w:val="00DB7C89"/>
    <w:rsid w:val="00DB7E81"/>
    <w:rsid w:val="00DC0E64"/>
    <w:rsid w:val="00DC111C"/>
    <w:rsid w:val="00DC2B16"/>
    <w:rsid w:val="00DC3BA1"/>
    <w:rsid w:val="00DC454E"/>
    <w:rsid w:val="00DC6369"/>
    <w:rsid w:val="00DC63F5"/>
    <w:rsid w:val="00DC6F45"/>
    <w:rsid w:val="00DD1B98"/>
    <w:rsid w:val="00DD38E4"/>
    <w:rsid w:val="00DD3A8A"/>
    <w:rsid w:val="00DD5DF8"/>
    <w:rsid w:val="00DD677D"/>
    <w:rsid w:val="00DD6D1F"/>
    <w:rsid w:val="00DD7B69"/>
    <w:rsid w:val="00DE1128"/>
    <w:rsid w:val="00DE26AD"/>
    <w:rsid w:val="00DE4792"/>
    <w:rsid w:val="00DE4C73"/>
    <w:rsid w:val="00DE6E70"/>
    <w:rsid w:val="00DE75C7"/>
    <w:rsid w:val="00DE79A3"/>
    <w:rsid w:val="00DF0E22"/>
    <w:rsid w:val="00DF160E"/>
    <w:rsid w:val="00DF1DE5"/>
    <w:rsid w:val="00DF1F30"/>
    <w:rsid w:val="00DF2A79"/>
    <w:rsid w:val="00DF7114"/>
    <w:rsid w:val="00E00115"/>
    <w:rsid w:val="00E00330"/>
    <w:rsid w:val="00E0213F"/>
    <w:rsid w:val="00E02708"/>
    <w:rsid w:val="00E04121"/>
    <w:rsid w:val="00E04BA1"/>
    <w:rsid w:val="00E04CD3"/>
    <w:rsid w:val="00E063AB"/>
    <w:rsid w:val="00E06677"/>
    <w:rsid w:val="00E06893"/>
    <w:rsid w:val="00E06D34"/>
    <w:rsid w:val="00E1046C"/>
    <w:rsid w:val="00E11118"/>
    <w:rsid w:val="00E1272D"/>
    <w:rsid w:val="00E12893"/>
    <w:rsid w:val="00E129BA"/>
    <w:rsid w:val="00E13014"/>
    <w:rsid w:val="00E15D40"/>
    <w:rsid w:val="00E16626"/>
    <w:rsid w:val="00E173B3"/>
    <w:rsid w:val="00E2181A"/>
    <w:rsid w:val="00E2261A"/>
    <w:rsid w:val="00E226FB"/>
    <w:rsid w:val="00E22B90"/>
    <w:rsid w:val="00E2380C"/>
    <w:rsid w:val="00E23C5F"/>
    <w:rsid w:val="00E23EF7"/>
    <w:rsid w:val="00E242B2"/>
    <w:rsid w:val="00E24B8E"/>
    <w:rsid w:val="00E25752"/>
    <w:rsid w:val="00E2670D"/>
    <w:rsid w:val="00E2725E"/>
    <w:rsid w:val="00E27494"/>
    <w:rsid w:val="00E31D08"/>
    <w:rsid w:val="00E31E21"/>
    <w:rsid w:val="00E33D1A"/>
    <w:rsid w:val="00E36B0D"/>
    <w:rsid w:val="00E37611"/>
    <w:rsid w:val="00E37CAF"/>
    <w:rsid w:val="00E41B61"/>
    <w:rsid w:val="00E41C7D"/>
    <w:rsid w:val="00E42455"/>
    <w:rsid w:val="00E43FAA"/>
    <w:rsid w:val="00E44617"/>
    <w:rsid w:val="00E4464F"/>
    <w:rsid w:val="00E45BA7"/>
    <w:rsid w:val="00E46252"/>
    <w:rsid w:val="00E463DE"/>
    <w:rsid w:val="00E4660B"/>
    <w:rsid w:val="00E50F0B"/>
    <w:rsid w:val="00E517FE"/>
    <w:rsid w:val="00E518A7"/>
    <w:rsid w:val="00E51E6C"/>
    <w:rsid w:val="00E52C51"/>
    <w:rsid w:val="00E5345D"/>
    <w:rsid w:val="00E53F87"/>
    <w:rsid w:val="00E55BD8"/>
    <w:rsid w:val="00E56C34"/>
    <w:rsid w:val="00E56D4F"/>
    <w:rsid w:val="00E57A62"/>
    <w:rsid w:val="00E61E29"/>
    <w:rsid w:val="00E620AD"/>
    <w:rsid w:val="00E62FB8"/>
    <w:rsid w:val="00E633F8"/>
    <w:rsid w:val="00E653D7"/>
    <w:rsid w:val="00E66428"/>
    <w:rsid w:val="00E66A2E"/>
    <w:rsid w:val="00E704E6"/>
    <w:rsid w:val="00E70CA9"/>
    <w:rsid w:val="00E71D6A"/>
    <w:rsid w:val="00E722AE"/>
    <w:rsid w:val="00E72419"/>
    <w:rsid w:val="00E727B8"/>
    <w:rsid w:val="00E73B4B"/>
    <w:rsid w:val="00E74D98"/>
    <w:rsid w:val="00E75A8E"/>
    <w:rsid w:val="00E75D92"/>
    <w:rsid w:val="00E7666F"/>
    <w:rsid w:val="00E82169"/>
    <w:rsid w:val="00E8334F"/>
    <w:rsid w:val="00E836A8"/>
    <w:rsid w:val="00E84739"/>
    <w:rsid w:val="00E85766"/>
    <w:rsid w:val="00E85D88"/>
    <w:rsid w:val="00E8629C"/>
    <w:rsid w:val="00E87149"/>
    <w:rsid w:val="00E8755F"/>
    <w:rsid w:val="00E87928"/>
    <w:rsid w:val="00E87A65"/>
    <w:rsid w:val="00E91A86"/>
    <w:rsid w:val="00E92A86"/>
    <w:rsid w:val="00E93B4C"/>
    <w:rsid w:val="00E961D4"/>
    <w:rsid w:val="00E97294"/>
    <w:rsid w:val="00E97C14"/>
    <w:rsid w:val="00EA106B"/>
    <w:rsid w:val="00EA17E5"/>
    <w:rsid w:val="00EA46E0"/>
    <w:rsid w:val="00EA4F07"/>
    <w:rsid w:val="00EA5120"/>
    <w:rsid w:val="00EA59D8"/>
    <w:rsid w:val="00EA5F6D"/>
    <w:rsid w:val="00EB293F"/>
    <w:rsid w:val="00EB29C4"/>
    <w:rsid w:val="00EB2E7C"/>
    <w:rsid w:val="00EB32FC"/>
    <w:rsid w:val="00EB3821"/>
    <w:rsid w:val="00EB3D2F"/>
    <w:rsid w:val="00EB4BEA"/>
    <w:rsid w:val="00EB6D12"/>
    <w:rsid w:val="00EB7728"/>
    <w:rsid w:val="00EC012C"/>
    <w:rsid w:val="00EC0D5C"/>
    <w:rsid w:val="00EC0EBD"/>
    <w:rsid w:val="00EC2A39"/>
    <w:rsid w:val="00EC2B93"/>
    <w:rsid w:val="00EC4756"/>
    <w:rsid w:val="00EC6BB1"/>
    <w:rsid w:val="00EC72F1"/>
    <w:rsid w:val="00ED1ADA"/>
    <w:rsid w:val="00ED27C2"/>
    <w:rsid w:val="00ED2C00"/>
    <w:rsid w:val="00ED3CEB"/>
    <w:rsid w:val="00ED3D05"/>
    <w:rsid w:val="00ED4FD7"/>
    <w:rsid w:val="00ED5150"/>
    <w:rsid w:val="00ED590A"/>
    <w:rsid w:val="00ED5A44"/>
    <w:rsid w:val="00ED69A7"/>
    <w:rsid w:val="00ED789E"/>
    <w:rsid w:val="00EE026A"/>
    <w:rsid w:val="00EE0FF2"/>
    <w:rsid w:val="00EE1658"/>
    <w:rsid w:val="00EE1FE1"/>
    <w:rsid w:val="00EE230B"/>
    <w:rsid w:val="00EE3493"/>
    <w:rsid w:val="00EE44B0"/>
    <w:rsid w:val="00EE489B"/>
    <w:rsid w:val="00EE491C"/>
    <w:rsid w:val="00EE4A9C"/>
    <w:rsid w:val="00EE7531"/>
    <w:rsid w:val="00EF0E56"/>
    <w:rsid w:val="00EF3F3A"/>
    <w:rsid w:val="00EF4168"/>
    <w:rsid w:val="00EF5D1D"/>
    <w:rsid w:val="00EF6A85"/>
    <w:rsid w:val="00EF7447"/>
    <w:rsid w:val="00F0066C"/>
    <w:rsid w:val="00F013D4"/>
    <w:rsid w:val="00F05B8F"/>
    <w:rsid w:val="00F0654E"/>
    <w:rsid w:val="00F06A24"/>
    <w:rsid w:val="00F07297"/>
    <w:rsid w:val="00F073F7"/>
    <w:rsid w:val="00F079F6"/>
    <w:rsid w:val="00F11613"/>
    <w:rsid w:val="00F14FD0"/>
    <w:rsid w:val="00F15302"/>
    <w:rsid w:val="00F1583A"/>
    <w:rsid w:val="00F15D1C"/>
    <w:rsid w:val="00F1677B"/>
    <w:rsid w:val="00F211DB"/>
    <w:rsid w:val="00F21AF4"/>
    <w:rsid w:val="00F30684"/>
    <w:rsid w:val="00F31008"/>
    <w:rsid w:val="00F33DC7"/>
    <w:rsid w:val="00F36189"/>
    <w:rsid w:val="00F364BD"/>
    <w:rsid w:val="00F36792"/>
    <w:rsid w:val="00F370F8"/>
    <w:rsid w:val="00F371B8"/>
    <w:rsid w:val="00F37F06"/>
    <w:rsid w:val="00F40109"/>
    <w:rsid w:val="00F40CC9"/>
    <w:rsid w:val="00F4174C"/>
    <w:rsid w:val="00F41AB9"/>
    <w:rsid w:val="00F4274F"/>
    <w:rsid w:val="00F44F19"/>
    <w:rsid w:val="00F458EE"/>
    <w:rsid w:val="00F463AC"/>
    <w:rsid w:val="00F476EE"/>
    <w:rsid w:val="00F500ED"/>
    <w:rsid w:val="00F518DB"/>
    <w:rsid w:val="00F51AAD"/>
    <w:rsid w:val="00F51E09"/>
    <w:rsid w:val="00F60240"/>
    <w:rsid w:val="00F61CED"/>
    <w:rsid w:val="00F63596"/>
    <w:rsid w:val="00F63DFF"/>
    <w:rsid w:val="00F640C6"/>
    <w:rsid w:val="00F64719"/>
    <w:rsid w:val="00F655F4"/>
    <w:rsid w:val="00F676A2"/>
    <w:rsid w:val="00F71BD7"/>
    <w:rsid w:val="00F72ED7"/>
    <w:rsid w:val="00F73F41"/>
    <w:rsid w:val="00F740B5"/>
    <w:rsid w:val="00F74CD5"/>
    <w:rsid w:val="00F81C17"/>
    <w:rsid w:val="00F8292F"/>
    <w:rsid w:val="00F84557"/>
    <w:rsid w:val="00F8545F"/>
    <w:rsid w:val="00F86CAD"/>
    <w:rsid w:val="00F874BB"/>
    <w:rsid w:val="00F91315"/>
    <w:rsid w:val="00F91CE6"/>
    <w:rsid w:val="00F91FAB"/>
    <w:rsid w:val="00F9255B"/>
    <w:rsid w:val="00F92B93"/>
    <w:rsid w:val="00F93A4F"/>
    <w:rsid w:val="00F93BDD"/>
    <w:rsid w:val="00F95836"/>
    <w:rsid w:val="00F97746"/>
    <w:rsid w:val="00F977B4"/>
    <w:rsid w:val="00F9798D"/>
    <w:rsid w:val="00FA049C"/>
    <w:rsid w:val="00FA196F"/>
    <w:rsid w:val="00FA3ACF"/>
    <w:rsid w:val="00FA3FD2"/>
    <w:rsid w:val="00FA3FEF"/>
    <w:rsid w:val="00FA413E"/>
    <w:rsid w:val="00FB0492"/>
    <w:rsid w:val="00FB1ADB"/>
    <w:rsid w:val="00FB236D"/>
    <w:rsid w:val="00FB3153"/>
    <w:rsid w:val="00FB3A0A"/>
    <w:rsid w:val="00FB47C9"/>
    <w:rsid w:val="00FB4AEC"/>
    <w:rsid w:val="00FB4D36"/>
    <w:rsid w:val="00FB51BC"/>
    <w:rsid w:val="00FB52F1"/>
    <w:rsid w:val="00FB6AAD"/>
    <w:rsid w:val="00FB7D7E"/>
    <w:rsid w:val="00FC14D0"/>
    <w:rsid w:val="00FC2BA0"/>
    <w:rsid w:val="00FC3E43"/>
    <w:rsid w:val="00FC42F6"/>
    <w:rsid w:val="00FC519C"/>
    <w:rsid w:val="00FC62F1"/>
    <w:rsid w:val="00FC70D1"/>
    <w:rsid w:val="00FC77B5"/>
    <w:rsid w:val="00FD05B2"/>
    <w:rsid w:val="00FD1D31"/>
    <w:rsid w:val="00FD2204"/>
    <w:rsid w:val="00FD2A08"/>
    <w:rsid w:val="00FD3146"/>
    <w:rsid w:val="00FD3247"/>
    <w:rsid w:val="00FD3977"/>
    <w:rsid w:val="00FD40E2"/>
    <w:rsid w:val="00FD4B05"/>
    <w:rsid w:val="00FD586F"/>
    <w:rsid w:val="00FD6EC2"/>
    <w:rsid w:val="00FD706B"/>
    <w:rsid w:val="00FD7709"/>
    <w:rsid w:val="00FD7B50"/>
    <w:rsid w:val="00FE0759"/>
    <w:rsid w:val="00FE07EA"/>
    <w:rsid w:val="00FE0D0E"/>
    <w:rsid w:val="00FE1EED"/>
    <w:rsid w:val="00FE2347"/>
    <w:rsid w:val="00FE2E48"/>
    <w:rsid w:val="00FE3AD2"/>
    <w:rsid w:val="00FE4DCC"/>
    <w:rsid w:val="00FE56EB"/>
    <w:rsid w:val="00FE7FB3"/>
    <w:rsid w:val="00FF0D32"/>
    <w:rsid w:val="00FF2C7D"/>
    <w:rsid w:val="00FF3025"/>
    <w:rsid w:val="00FF4665"/>
    <w:rsid w:val="00FF4CC9"/>
    <w:rsid w:val="00FF53C2"/>
    <w:rsid w:val="00FF7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0567E"/>
  <w15:docId w15:val="{A986C719-E427-43A1-9BD0-43DBC8966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926"/>
    <w:pPr>
      <w:spacing w:before="120" w:after="0" w:line="240" w:lineRule="auto"/>
    </w:pPr>
    <w:rPr>
      <w:rFonts w:ascii="Arial" w:eastAsiaTheme="minorEastAsia" w:hAnsi="Arial" w:cs="Times New Roman"/>
      <w:sz w:val="24"/>
    </w:rPr>
  </w:style>
  <w:style w:type="paragraph" w:styleId="Heading1">
    <w:name w:val="heading 1"/>
    <w:next w:val="Normal"/>
    <w:link w:val="Heading1Char"/>
    <w:uiPriority w:val="9"/>
    <w:qFormat/>
    <w:rsid w:val="007F6098"/>
    <w:pPr>
      <w:keepNext/>
      <w:keepLines/>
      <w:spacing w:after="0" w:line="240" w:lineRule="auto"/>
      <w:contextualSpacing/>
      <w:outlineLvl w:val="0"/>
    </w:pPr>
    <w:rPr>
      <w:rFonts w:asciiTheme="majorHAnsi" w:eastAsiaTheme="majorEastAsia" w:hAnsiTheme="majorHAnsi" w:cstheme="majorBidi"/>
      <w:color w:val="000000" w:themeColor="text1"/>
      <w:spacing w:val="10"/>
      <w:sz w:val="32"/>
      <w:szCs w:val="32"/>
    </w:rPr>
  </w:style>
  <w:style w:type="paragraph" w:styleId="Heading2">
    <w:name w:val="heading 2"/>
    <w:basedOn w:val="Heading1"/>
    <w:next w:val="Normal"/>
    <w:link w:val="Heading2Char"/>
    <w:uiPriority w:val="9"/>
    <w:unhideWhenUsed/>
    <w:qFormat/>
    <w:rsid w:val="007F6098"/>
    <w:pPr>
      <w:pBdr>
        <w:bottom w:val="single" w:sz="4" w:space="3" w:color="7F7F7F" w:themeColor="text1" w:themeTint="80"/>
      </w:pBdr>
      <w:spacing w:before="220"/>
      <w:outlineLvl w:val="1"/>
    </w:pPr>
    <w:rPr>
      <w:rFonts w:ascii="Arial" w:hAnsi="Arial"/>
      <w:color w:val="0072C6"/>
    </w:rPr>
  </w:style>
  <w:style w:type="paragraph" w:styleId="Heading3">
    <w:name w:val="heading 3"/>
    <w:basedOn w:val="Heading1"/>
    <w:next w:val="Normal"/>
    <w:link w:val="Heading3Char"/>
    <w:uiPriority w:val="9"/>
    <w:unhideWhenUsed/>
    <w:qFormat/>
    <w:rsid w:val="007F6098"/>
    <w:pPr>
      <w:spacing w:before="220"/>
      <w:outlineLvl w:val="2"/>
    </w:pPr>
    <w:rPr>
      <w:rFonts w:ascii="Arial" w:hAnsi="Arial"/>
      <w:bCs/>
      <w:color w:val="0072C6"/>
      <w:sz w:val="28"/>
    </w:rPr>
  </w:style>
  <w:style w:type="paragraph" w:styleId="Heading4">
    <w:name w:val="heading 4"/>
    <w:next w:val="Normal"/>
    <w:link w:val="Heading4Char"/>
    <w:uiPriority w:val="9"/>
    <w:semiHidden/>
    <w:unhideWhenUsed/>
    <w:qFormat/>
    <w:rsid w:val="007F6098"/>
    <w:pPr>
      <w:keepNext/>
      <w:keepLines/>
      <w:spacing w:after="0" w:line="240" w:lineRule="auto"/>
      <w:outlineLvl w:val="3"/>
    </w:pPr>
    <w:rPr>
      <w:rFonts w:ascii="Verdana" w:eastAsiaTheme="majorEastAsia" w:hAnsi="Verdana" w:cstheme="majorBidi"/>
      <w:caps/>
      <w:color w:val="000000" w:themeColor="text1"/>
      <w:spacing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098"/>
    <w:rPr>
      <w:rFonts w:asciiTheme="majorHAnsi" w:eastAsiaTheme="majorEastAsia" w:hAnsiTheme="majorHAnsi" w:cstheme="majorBidi"/>
      <w:color w:val="000000" w:themeColor="text1"/>
      <w:spacing w:val="10"/>
      <w:sz w:val="32"/>
      <w:szCs w:val="32"/>
    </w:rPr>
  </w:style>
  <w:style w:type="character" w:customStyle="1" w:styleId="Heading2Char">
    <w:name w:val="Heading 2 Char"/>
    <w:basedOn w:val="DefaultParagraphFont"/>
    <w:link w:val="Heading2"/>
    <w:uiPriority w:val="9"/>
    <w:rsid w:val="007F6098"/>
    <w:rPr>
      <w:rFonts w:ascii="Arial" w:eastAsiaTheme="majorEastAsia" w:hAnsi="Arial" w:cstheme="majorBidi"/>
      <w:color w:val="0072C6"/>
      <w:spacing w:val="10"/>
      <w:sz w:val="32"/>
      <w:szCs w:val="32"/>
    </w:rPr>
  </w:style>
  <w:style w:type="character" w:customStyle="1" w:styleId="Heading3Char">
    <w:name w:val="Heading 3 Char"/>
    <w:basedOn w:val="DefaultParagraphFont"/>
    <w:link w:val="Heading3"/>
    <w:uiPriority w:val="9"/>
    <w:rsid w:val="007F6098"/>
    <w:rPr>
      <w:rFonts w:ascii="Arial" w:eastAsiaTheme="majorEastAsia" w:hAnsi="Arial" w:cstheme="majorBidi"/>
      <w:bCs/>
      <w:color w:val="0072C6"/>
      <w:spacing w:val="10"/>
      <w:sz w:val="28"/>
      <w:szCs w:val="32"/>
    </w:rPr>
  </w:style>
  <w:style w:type="character" w:customStyle="1" w:styleId="Heading4Char">
    <w:name w:val="Heading 4 Char"/>
    <w:basedOn w:val="DefaultParagraphFont"/>
    <w:link w:val="Heading4"/>
    <w:uiPriority w:val="9"/>
    <w:semiHidden/>
    <w:rsid w:val="007F6098"/>
    <w:rPr>
      <w:rFonts w:ascii="Verdana" w:eastAsiaTheme="majorEastAsia" w:hAnsi="Verdana" w:cstheme="majorBidi"/>
      <w:caps/>
      <w:color w:val="000000" w:themeColor="text1"/>
      <w:spacing w:val="40"/>
      <w:szCs w:val="20"/>
    </w:rPr>
  </w:style>
  <w:style w:type="character" w:styleId="Hyperlink">
    <w:name w:val="Hyperlink"/>
    <w:basedOn w:val="DefaultParagraphFont"/>
    <w:uiPriority w:val="99"/>
    <w:semiHidden/>
    <w:unhideWhenUsed/>
    <w:rsid w:val="007F6098"/>
    <w:rPr>
      <w:color w:val="0000FF" w:themeColor="hyperlink"/>
      <w:u w:val="single"/>
    </w:rPr>
  </w:style>
  <w:style w:type="character" w:styleId="Emphasis">
    <w:name w:val="Emphasis"/>
    <w:aliases w:val="Highlight"/>
    <w:basedOn w:val="DefaultParagraphFont"/>
    <w:uiPriority w:val="20"/>
    <w:qFormat/>
    <w:rsid w:val="007F6098"/>
    <w:rPr>
      <w:rFonts w:ascii="Arial" w:hAnsi="Arial" w:cs="Arial" w:hint="default"/>
      <w:b w:val="0"/>
      <w:bCs w:val="0"/>
      <w:color w:val="0072C6"/>
      <w:sz w:val="24"/>
    </w:rPr>
  </w:style>
  <w:style w:type="character" w:styleId="Strong">
    <w:name w:val="Strong"/>
    <w:basedOn w:val="DefaultParagraphFont"/>
    <w:uiPriority w:val="22"/>
    <w:qFormat/>
    <w:rsid w:val="007F6098"/>
    <w:rPr>
      <w:b w:val="0"/>
      <w:bCs w:val="0"/>
      <w:color w:val="4F81BD" w:themeColor="accent1"/>
    </w:rPr>
  </w:style>
  <w:style w:type="paragraph" w:styleId="TOC1">
    <w:name w:val="toc 1"/>
    <w:basedOn w:val="Normal"/>
    <w:next w:val="Normal"/>
    <w:autoRedefine/>
    <w:uiPriority w:val="39"/>
    <w:semiHidden/>
    <w:unhideWhenUsed/>
    <w:rsid w:val="007F6098"/>
    <w:rPr>
      <w:b/>
    </w:rPr>
  </w:style>
  <w:style w:type="paragraph" w:styleId="TOC4">
    <w:name w:val="toc 4"/>
    <w:basedOn w:val="Normal"/>
    <w:next w:val="Normal"/>
    <w:autoRedefine/>
    <w:uiPriority w:val="39"/>
    <w:semiHidden/>
    <w:unhideWhenUsed/>
    <w:rsid w:val="007F6098"/>
    <w:pPr>
      <w:spacing w:before="0"/>
      <w:ind w:left="660"/>
    </w:pPr>
    <w:rPr>
      <w:sz w:val="20"/>
      <w:szCs w:val="20"/>
    </w:rPr>
  </w:style>
  <w:style w:type="paragraph" w:styleId="FootnoteText">
    <w:name w:val="footnote text"/>
    <w:basedOn w:val="Normal"/>
    <w:link w:val="FootnoteTextChar"/>
    <w:uiPriority w:val="99"/>
    <w:semiHidden/>
    <w:unhideWhenUsed/>
    <w:rsid w:val="007F6098"/>
    <w:pPr>
      <w:spacing w:before="0"/>
    </w:pPr>
    <w:rPr>
      <w:i/>
      <w:color w:val="7F7F7F" w:themeColor="text1" w:themeTint="80"/>
      <w:sz w:val="20"/>
      <w:szCs w:val="24"/>
    </w:rPr>
  </w:style>
  <w:style w:type="character" w:customStyle="1" w:styleId="FootnoteTextChar">
    <w:name w:val="Footnote Text Char"/>
    <w:basedOn w:val="DefaultParagraphFont"/>
    <w:link w:val="FootnoteText"/>
    <w:uiPriority w:val="99"/>
    <w:semiHidden/>
    <w:rsid w:val="007F6098"/>
    <w:rPr>
      <w:rFonts w:ascii="Arial" w:eastAsiaTheme="minorEastAsia" w:hAnsi="Arial" w:cs="Times New Roman"/>
      <w:i/>
      <w:color w:val="7F7F7F" w:themeColor="text1" w:themeTint="80"/>
      <w:sz w:val="20"/>
      <w:szCs w:val="24"/>
    </w:rPr>
  </w:style>
  <w:style w:type="character" w:customStyle="1" w:styleId="CommentTextChar">
    <w:name w:val="Comment Text Char"/>
    <w:basedOn w:val="DefaultParagraphFont"/>
    <w:link w:val="CommentText"/>
    <w:uiPriority w:val="99"/>
    <w:rsid w:val="007F6098"/>
    <w:rPr>
      <w:rFonts w:ascii="Arial" w:eastAsiaTheme="minorEastAsia" w:hAnsi="Arial" w:cs="Times New Roman"/>
      <w:sz w:val="20"/>
      <w:szCs w:val="20"/>
    </w:rPr>
  </w:style>
  <w:style w:type="paragraph" w:styleId="CommentText">
    <w:name w:val="annotation text"/>
    <w:basedOn w:val="Normal"/>
    <w:link w:val="CommentTextChar"/>
    <w:uiPriority w:val="99"/>
    <w:unhideWhenUsed/>
    <w:rsid w:val="007F6098"/>
    <w:rPr>
      <w:sz w:val="20"/>
      <w:szCs w:val="20"/>
    </w:rPr>
  </w:style>
  <w:style w:type="paragraph" w:styleId="Header">
    <w:name w:val="header"/>
    <w:basedOn w:val="Normal"/>
    <w:link w:val="HeaderChar"/>
    <w:uiPriority w:val="99"/>
    <w:unhideWhenUsed/>
    <w:rsid w:val="007F6098"/>
    <w:pPr>
      <w:tabs>
        <w:tab w:val="center" w:pos="4320"/>
        <w:tab w:val="right" w:pos="8640"/>
      </w:tabs>
    </w:pPr>
  </w:style>
  <w:style w:type="character" w:customStyle="1" w:styleId="HeaderChar">
    <w:name w:val="Header Char"/>
    <w:basedOn w:val="DefaultParagraphFont"/>
    <w:link w:val="Header"/>
    <w:uiPriority w:val="99"/>
    <w:rsid w:val="007F6098"/>
    <w:rPr>
      <w:rFonts w:ascii="Arial" w:eastAsiaTheme="minorEastAsia" w:hAnsi="Arial" w:cs="Times New Roman"/>
      <w:sz w:val="24"/>
    </w:rPr>
  </w:style>
  <w:style w:type="paragraph" w:styleId="Footer">
    <w:name w:val="footer"/>
    <w:basedOn w:val="Normal"/>
    <w:link w:val="FooterChar"/>
    <w:uiPriority w:val="99"/>
    <w:unhideWhenUsed/>
    <w:rsid w:val="007F6098"/>
    <w:pPr>
      <w:tabs>
        <w:tab w:val="center" w:pos="4320"/>
        <w:tab w:val="right" w:pos="8640"/>
      </w:tabs>
    </w:pPr>
  </w:style>
  <w:style w:type="character" w:customStyle="1" w:styleId="FooterChar">
    <w:name w:val="Footer Char"/>
    <w:basedOn w:val="DefaultParagraphFont"/>
    <w:link w:val="Footer"/>
    <w:uiPriority w:val="99"/>
    <w:rsid w:val="007F6098"/>
    <w:rPr>
      <w:rFonts w:ascii="Arial" w:eastAsiaTheme="minorEastAsia" w:hAnsi="Arial" w:cs="Times New Roman"/>
      <w:sz w:val="24"/>
    </w:rPr>
  </w:style>
  <w:style w:type="character" w:customStyle="1" w:styleId="EndnoteTextChar">
    <w:name w:val="Endnote Text Char"/>
    <w:basedOn w:val="DefaultParagraphFont"/>
    <w:link w:val="EndnoteText"/>
    <w:uiPriority w:val="99"/>
    <w:semiHidden/>
    <w:rsid w:val="007F6098"/>
    <w:rPr>
      <w:rFonts w:ascii="Arial" w:eastAsiaTheme="minorEastAsia" w:hAnsi="Arial" w:cs="Times New Roman"/>
      <w:sz w:val="20"/>
      <w:szCs w:val="20"/>
    </w:rPr>
  </w:style>
  <w:style w:type="paragraph" w:styleId="EndnoteText">
    <w:name w:val="endnote text"/>
    <w:basedOn w:val="Normal"/>
    <w:link w:val="EndnoteTextChar"/>
    <w:uiPriority w:val="99"/>
    <w:semiHidden/>
    <w:unhideWhenUsed/>
    <w:rsid w:val="007F6098"/>
    <w:pPr>
      <w:spacing w:before="0"/>
    </w:pPr>
    <w:rPr>
      <w:sz w:val="20"/>
      <w:szCs w:val="20"/>
    </w:rPr>
  </w:style>
  <w:style w:type="character" w:customStyle="1" w:styleId="CommentSubjectChar">
    <w:name w:val="Comment Subject Char"/>
    <w:basedOn w:val="CommentTextChar"/>
    <w:link w:val="CommentSubject"/>
    <w:uiPriority w:val="99"/>
    <w:semiHidden/>
    <w:rsid w:val="007F6098"/>
    <w:rPr>
      <w:rFonts w:ascii="Arial" w:eastAsiaTheme="minorEastAsia" w:hAnsi="Arial" w:cs="Times New Roman"/>
      <w:b/>
      <w:bCs/>
      <w:sz w:val="20"/>
      <w:szCs w:val="20"/>
    </w:rPr>
  </w:style>
  <w:style w:type="paragraph" w:styleId="CommentSubject">
    <w:name w:val="annotation subject"/>
    <w:basedOn w:val="CommentText"/>
    <w:next w:val="CommentText"/>
    <w:link w:val="CommentSubjectChar"/>
    <w:uiPriority w:val="99"/>
    <w:semiHidden/>
    <w:unhideWhenUsed/>
    <w:rsid w:val="007F6098"/>
    <w:rPr>
      <w:b/>
      <w:bCs/>
    </w:rPr>
  </w:style>
  <w:style w:type="character" w:customStyle="1" w:styleId="BalloonTextChar">
    <w:name w:val="Balloon Text Char"/>
    <w:basedOn w:val="DefaultParagraphFont"/>
    <w:link w:val="BalloonText"/>
    <w:uiPriority w:val="99"/>
    <w:semiHidden/>
    <w:rsid w:val="007F6098"/>
    <w:rPr>
      <w:rFonts w:ascii="Lucida Grande" w:eastAsiaTheme="minorEastAsia" w:hAnsi="Lucida Grande" w:cs="Lucida Grande"/>
      <w:sz w:val="18"/>
      <w:szCs w:val="18"/>
    </w:rPr>
  </w:style>
  <w:style w:type="paragraph" w:styleId="BalloonText">
    <w:name w:val="Balloon Text"/>
    <w:basedOn w:val="Normal"/>
    <w:link w:val="BalloonTextChar"/>
    <w:uiPriority w:val="99"/>
    <w:semiHidden/>
    <w:unhideWhenUsed/>
    <w:rsid w:val="007F6098"/>
    <w:rPr>
      <w:rFonts w:ascii="Lucida Grande" w:hAnsi="Lucida Grande" w:cs="Lucida Grande"/>
      <w:sz w:val="18"/>
      <w:szCs w:val="18"/>
    </w:rPr>
  </w:style>
  <w:style w:type="paragraph" w:styleId="ListParagraph">
    <w:name w:val="List Paragraph"/>
    <w:basedOn w:val="Normal"/>
    <w:link w:val="ListParagraphChar"/>
    <w:uiPriority w:val="34"/>
    <w:qFormat/>
    <w:rsid w:val="007F6098"/>
    <w:pPr>
      <w:spacing w:after="140"/>
      <w:contextualSpacing/>
    </w:pPr>
  </w:style>
  <w:style w:type="paragraph" w:styleId="Quote">
    <w:name w:val="Quote"/>
    <w:basedOn w:val="Normal"/>
    <w:next w:val="Normal"/>
    <w:link w:val="QuoteChar"/>
    <w:uiPriority w:val="29"/>
    <w:qFormat/>
    <w:rsid w:val="007F6098"/>
    <w:rPr>
      <w:i/>
      <w:iCs/>
      <w:color w:val="000000" w:themeColor="text1"/>
    </w:rPr>
  </w:style>
  <w:style w:type="character" w:customStyle="1" w:styleId="QuoteChar">
    <w:name w:val="Quote Char"/>
    <w:basedOn w:val="DefaultParagraphFont"/>
    <w:link w:val="Quote"/>
    <w:uiPriority w:val="29"/>
    <w:rsid w:val="007F6098"/>
    <w:rPr>
      <w:rFonts w:ascii="Arial" w:eastAsiaTheme="minorEastAsia" w:hAnsi="Arial" w:cs="Times New Roman"/>
      <w:i/>
      <w:iCs/>
      <w:color w:val="000000" w:themeColor="text1"/>
      <w:sz w:val="24"/>
    </w:rPr>
  </w:style>
  <w:style w:type="paragraph" w:customStyle="1" w:styleId="TableNormalPara">
    <w:name w:val="Table Normal Para"/>
    <w:basedOn w:val="Normal"/>
    <w:uiPriority w:val="99"/>
    <w:rsid w:val="007F6098"/>
  </w:style>
  <w:style w:type="paragraph" w:customStyle="1" w:styleId="HeaderFooterA4VMaster">
    <w:name w:val="Header/Footer (A4 V:Master)"/>
    <w:basedOn w:val="Normal"/>
    <w:uiPriority w:val="99"/>
    <w:rsid w:val="007F6098"/>
    <w:pPr>
      <w:widowControl w:val="0"/>
      <w:suppressAutoHyphens/>
      <w:autoSpaceDE w:val="0"/>
      <w:autoSpaceDN w:val="0"/>
      <w:adjustRightInd w:val="0"/>
      <w:spacing w:line="288" w:lineRule="auto"/>
    </w:pPr>
    <w:rPr>
      <w:rFonts w:ascii="Georgia-Italic" w:hAnsi="Georgia-Italic" w:cs="Georgia-Italic"/>
      <w:i/>
      <w:iCs/>
      <w:color w:val="000000"/>
      <w:sz w:val="14"/>
      <w:szCs w:val="14"/>
    </w:rPr>
  </w:style>
  <w:style w:type="paragraph" w:customStyle="1" w:styleId="Headerfooter">
    <w:name w:val="Header/footer"/>
    <w:basedOn w:val="Footer"/>
    <w:qFormat/>
    <w:rsid w:val="007F6098"/>
    <w:pPr>
      <w:spacing w:before="0"/>
    </w:pPr>
    <w:rPr>
      <w:color w:val="595959" w:themeColor="text1" w:themeTint="A6"/>
      <w:sz w:val="20"/>
      <w:szCs w:val="14"/>
    </w:rPr>
  </w:style>
  <w:style w:type="character" w:customStyle="1" w:styleId="BITable">
    <w:name w:val="BI Table"/>
    <w:basedOn w:val="DefaultParagraphFont"/>
    <w:rsid w:val="007F6098"/>
  </w:style>
  <w:style w:type="paragraph" w:customStyle="1" w:styleId="BITablePara">
    <w:name w:val="BI Table Para"/>
    <w:basedOn w:val="TableNormalPara"/>
    <w:link w:val="BITable2"/>
    <w:uiPriority w:val="99"/>
    <w:rsid w:val="007F6098"/>
    <w:pPr>
      <w:spacing w:before="0"/>
    </w:pPr>
    <w:rPr>
      <w:sz w:val="20"/>
    </w:rPr>
  </w:style>
  <w:style w:type="table" w:customStyle="1" w:styleId="BITable2">
    <w:name w:val="BI Table2"/>
    <w:basedOn w:val="TableNormal"/>
    <w:link w:val="BITablePara"/>
    <w:uiPriority w:val="99"/>
    <w:rsid w:val="007F6098"/>
    <w:pPr>
      <w:spacing w:after="0" w:line="240" w:lineRule="auto"/>
    </w:pPr>
    <w:rPr>
      <w:rFonts w:ascii="Times New Roman" w:eastAsiaTheme="minorEastAsia" w:hAnsi="Times New Roman" w:cs="Times New Roman"/>
      <w:sz w:val="20"/>
      <w:szCs w:val="20"/>
    </w:rPr>
    <w:tblPr/>
    <w:tblStylePr w:type="firstRow">
      <w:pPr>
        <w:jc w:val="left"/>
      </w:pPr>
      <w:rPr>
        <w:rFonts w:ascii="@BatangChe" w:eastAsia="@BatangChe" w:hAnsi="@BatangChe" w:hint="eastAsia"/>
        <w:b w:val="0"/>
        <w:i w:val="0"/>
        <w:color w:val="FFFFFF" w:themeColor="background1"/>
      </w:rPr>
      <w:tblPr/>
      <w:tcPr>
        <w:shd w:val="clear" w:color="auto" w:fill="4F81BD" w:themeFill="accent1"/>
      </w:tcPr>
    </w:tblStylePr>
  </w:style>
  <w:style w:type="paragraph" w:customStyle="1" w:styleId="Hiddenprompt">
    <w:name w:val="Hidden prompt"/>
    <w:basedOn w:val="Normal"/>
    <w:qFormat/>
    <w:rsid w:val="007F6098"/>
    <w:rPr>
      <w:rFonts w:ascii="Georgia" w:hAnsi="Georgia"/>
      <w:i/>
      <w:iCs/>
      <w:color w:val="7F7F7F" w:themeColor="text1" w:themeTint="80"/>
      <w:szCs w:val="28"/>
    </w:rPr>
  </w:style>
  <w:style w:type="paragraph" w:customStyle="1" w:styleId="GaramondLeftHeading">
    <w:name w:val="Garamond Left Heading"/>
    <w:basedOn w:val="Footer"/>
    <w:rsid w:val="007F6098"/>
    <w:pPr>
      <w:spacing w:before="0" w:after="120"/>
      <w:jc w:val="both"/>
    </w:pPr>
    <w:rPr>
      <w:rFonts w:ascii="Garamond" w:hAnsi="Garamond"/>
      <w:sz w:val="26"/>
      <w:szCs w:val="14"/>
    </w:rPr>
  </w:style>
  <w:style w:type="paragraph" w:customStyle="1" w:styleId="Table-text">
    <w:name w:val="Table - text"/>
    <w:basedOn w:val="Normal"/>
    <w:qFormat/>
    <w:rsid w:val="007F6098"/>
    <w:pPr>
      <w:spacing w:before="20" w:after="20"/>
    </w:pPr>
    <w:rPr>
      <w:sz w:val="20"/>
    </w:rPr>
  </w:style>
  <w:style w:type="paragraph" w:customStyle="1" w:styleId="Tableheading">
    <w:name w:val="Table heading"/>
    <w:basedOn w:val="Table-text"/>
    <w:qFormat/>
    <w:rsid w:val="007F6098"/>
    <w:pPr>
      <w:spacing w:before="40" w:after="40"/>
    </w:pPr>
    <w:rPr>
      <w:color w:val="FFFFFF" w:themeColor="background1"/>
      <w:sz w:val="24"/>
    </w:rPr>
  </w:style>
  <w:style w:type="paragraph" w:customStyle="1" w:styleId="Warning">
    <w:name w:val="Warning"/>
    <w:basedOn w:val="Normal"/>
    <w:qFormat/>
    <w:rsid w:val="007F6098"/>
    <w:pPr>
      <w:shd w:val="clear" w:color="auto" w:fill="FF0000"/>
      <w:jc w:val="center"/>
    </w:pPr>
    <w:rPr>
      <w:rFonts w:cs="Arial"/>
      <w:b/>
      <w:iCs/>
      <w:color w:val="FFC000"/>
      <w:szCs w:val="28"/>
    </w:rPr>
  </w:style>
  <w:style w:type="paragraph" w:customStyle="1" w:styleId="Default">
    <w:name w:val="Default"/>
    <w:rsid w:val="007F6098"/>
    <w:pPr>
      <w:autoSpaceDE w:val="0"/>
      <w:autoSpaceDN w:val="0"/>
      <w:adjustRightInd w:val="0"/>
      <w:spacing w:after="0" w:line="240" w:lineRule="auto"/>
    </w:pPr>
    <w:rPr>
      <w:rFonts w:ascii="Arial" w:eastAsiaTheme="minorEastAsia" w:hAnsi="Arial" w:cs="Arial"/>
      <w:color w:val="000000"/>
      <w:sz w:val="24"/>
      <w:szCs w:val="24"/>
      <w:lang w:val="en-US"/>
    </w:rPr>
  </w:style>
  <w:style w:type="paragraph" w:customStyle="1" w:styleId="TableParagraph">
    <w:name w:val="Table Paragraph"/>
    <w:basedOn w:val="Normal"/>
    <w:uiPriority w:val="1"/>
    <w:qFormat/>
    <w:rsid w:val="007F6098"/>
    <w:pPr>
      <w:widowControl w:val="0"/>
      <w:spacing w:before="0"/>
    </w:pPr>
    <w:rPr>
      <w:rFonts w:asciiTheme="minorHAnsi" w:eastAsiaTheme="minorHAnsi" w:hAnsiTheme="minorHAnsi" w:cstheme="minorBidi"/>
      <w:sz w:val="22"/>
      <w:lang w:val="en-US"/>
    </w:rPr>
  </w:style>
  <w:style w:type="paragraph" w:customStyle="1" w:styleId="tableparagraph0">
    <w:name w:val="tableparagraph"/>
    <w:basedOn w:val="Normal"/>
    <w:rsid w:val="007F6098"/>
    <w:pPr>
      <w:spacing w:before="0"/>
    </w:pPr>
    <w:rPr>
      <w:rFonts w:ascii="Calibri" w:eastAsiaTheme="minorHAnsi" w:hAnsi="Calibri"/>
      <w:sz w:val="22"/>
      <w:lang w:eastAsia="en-GB"/>
    </w:rPr>
  </w:style>
  <w:style w:type="table" w:styleId="TableGrid">
    <w:name w:val="Table Grid"/>
    <w:basedOn w:val="TableNormal"/>
    <w:uiPriority w:val="59"/>
    <w:rsid w:val="007F6098"/>
    <w:pPr>
      <w:spacing w:after="0" w:line="240" w:lineRule="auto"/>
    </w:pPr>
    <w:rPr>
      <w:rFonts w:ascii="Times New Roman" w:eastAsiaTheme="minorEastAsia"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unhideWhenUsed/>
    <w:rsid w:val="006E0CAA"/>
    <w:pPr>
      <w:spacing w:after="100"/>
      <w:ind w:left="960"/>
    </w:pPr>
  </w:style>
  <w:style w:type="table" w:styleId="ColorfulGrid-Accent1">
    <w:name w:val="Colorful Grid Accent 1"/>
    <w:basedOn w:val="TableNormal"/>
    <w:uiPriority w:val="73"/>
    <w:rsid w:val="006E16F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1">
    <w:name w:val="Colorful Shading Accent 1"/>
    <w:basedOn w:val="TableNormal"/>
    <w:uiPriority w:val="71"/>
    <w:rsid w:val="006E16FF"/>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Grid3-Accent1">
    <w:name w:val="Medium Grid 3 Accent 1"/>
    <w:basedOn w:val="TableNormal"/>
    <w:uiPriority w:val="69"/>
    <w:rsid w:val="006E16F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Grid-Accent1">
    <w:name w:val="Light Grid Accent 1"/>
    <w:basedOn w:val="TableNormal"/>
    <w:uiPriority w:val="62"/>
    <w:rsid w:val="00AF30C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Grid3-Accent11">
    <w:name w:val="Medium Grid 3 - Accent 11"/>
    <w:basedOn w:val="TableNormal"/>
    <w:next w:val="MediumGrid3-Accent1"/>
    <w:uiPriority w:val="69"/>
    <w:rsid w:val="00AE20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12">
    <w:name w:val="Medium Grid 3 - Accent 12"/>
    <w:basedOn w:val="TableNormal"/>
    <w:next w:val="MediumGrid3-Accent1"/>
    <w:uiPriority w:val="69"/>
    <w:rsid w:val="00AE20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1">
    <w:name w:val="Light List Accent 1"/>
    <w:basedOn w:val="TableNormal"/>
    <w:uiPriority w:val="61"/>
    <w:rsid w:val="002E294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semiHidden/>
    <w:unhideWhenUsed/>
    <w:rsid w:val="00A34EF1"/>
    <w:pPr>
      <w:spacing w:before="100" w:beforeAutospacing="1" w:after="100" w:afterAutospacing="1"/>
    </w:pPr>
    <w:rPr>
      <w:rFonts w:ascii="Times New Roman" w:hAnsi="Times New Roman"/>
      <w:szCs w:val="24"/>
      <w:lang w:eastAsia="en-GB"/>
    </w:rPr>
  </w:style>
  <w:style w:type="paragraph" w:styleId="NoSpacing">
    <w:name w:val="No Spacing"/>
    <w:link w:val="NoSpacingChar"/>
    <w:uiPriority w:val="1"/>
    <w:qFormat/>
    <w:rsid w:val="00560400"/>
    <w:pPr>
      <w:spacing w:after="0" w:line="240" w:lineRule="auto"/>
    </w:pPr>
  </w:style>
  <w:style w:type="paragraph" w:styleId="Title">
    <w:name w:val="Title"/>
    <w:basedOn w:val="Normal"/>
    <w:next w:val="Normal"/>
    <w:link w:val="TitleChar"/>
    <w:uiPriority w:val="10"/>
    <w:qFormat/>
    <w:rsid w:val="00883D25"/>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83D25"/>
    <w:rPr>
      <w:rFonts w:asciiTheme="majorHAnsi" w:eastAsiaTheme="majorEastAsia" w:hAnsiTheme="majorHAnsi" w:cstheme="majorBidi"/>
      <w:color w:val="17365D" w:themeColor="text2" w:themeShade="BF"/>
      <w:spacing w:val="5"/>
      <w:kern w:val="28"/>
      <w:sz w:val="52"/>
      <w:szCs w:val="52"/>
    </w:rPr>
  </w:style>
  <w:style w:type="character" w:customStyle="1" w:styleId="NoSpacingChar">
    <w:name w:val="No Spacing Char"/>
    <w:link w:val="NoSpacing"/>
    <w:uiPriority w:val="1"/>
    <w:rsid w:val="00A4722E"/>
  </w:style>
  <w:style w:type="table" w:styleId="ColorfulGrid-Accent4">
    <w:name w:val="Colorful Grid Accent 4"/>
    <w:basedOn w:val="TableNormal"/>
    <w:uiPriority w:val="73"/>
    <w:rsid w:val="001351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3">
    <w:name w:val="Colorful Grid Accent 3"/>
    <w:basedOn w:val="TableNormal"/>
    <w:uiPriority w:val="73"/>
    <w:rsid w:val="001351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5">
    <w:name w:val="Colorful Grid Accent 5"/>
    <w:basedOn w:val="TableNormal"/>
    <w:uiPriority w:val="73"/>
    <w:rsid w:val="001351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1351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2">
    <w:name w:val="Colorful Grid Accent 2"/>
    <w:basedOn w:val="TableNormal"/>
    <w:uiPriority w:val="73"/>
    <w:rsid w:val="001351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21">
    <w:name w:val="Colorful Grid - Accent 21"/>
    <w:basedOn w:val="TableNormal"/>
    <w:next w:val="ColorfulGrid-Accent2"/>
    <w:uiPriority w:val="73"/>
    <w:rsid w:val="001351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22">
    <w:name w:val="Colorful Grid - Accent 22"/>
    <w:basedOn w:val="TableNormal"/>
    <w:next w:val="ColorfulGrid-Accent2"/>
    <w:uiPriority w:val="73"/>
    <w:rsid w:val="001351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23">
    <w:name w:val="Colorful Grid - Accent 23"/>
    <w:basedOn w:val="TableNormal"/>
    <w:next w:val="ColorfulGrid-Accent2"/>
    <w:uiPriority w:val="73"/>
    <w:rsid w:val="001351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51">
    <w:name w:val="Colorful Grid - Accent 51"/>
    <w:basedOn w:val="TableNormal"/>
    <w:next w:val="ColorfulGrid-Accent5"/>
    <w:uiPriority w:val="73"/>
    <w:rsid w:val="000110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211">
    <w:name w:val="Colorful Grid - Accent 211"/>
    <w:basedOn w:val="TableNormal"/>
    <w:next w:val="ColorfulGrid-Accent2"/>
    <w:uiPriority w:val="73"/>
    <w:rsid w:val="0093389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231">
    <w:name w:val="Colorful Grid - Accent 231"/>
    <w:basedOn w:val="TableNormal"/>
    <w:next w:val="ColorfulGrid-Accent2"/>
    <w:uiPriority w:val="73"/>
    <w:rsid w:val="0093389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TPHTitleStyle">
    <w:name w:val="TPH Title Style"/>
    <w:basedOn w:val="Normal"/>
    <w:link w:val="TPHTitleStyleChar"/>
    <w:qFormat/>
    <w:rsid w:val="003066D9"/>
    <w:pPr>
      <w:spacing w:before="0"/>
    </w:pPr>
    <w:rPr>
      <w:rFonts w:ascii="Cera Pro" w:eastAsia="Times New Roman" w:hAnsi="Cera Pro"/>
      <w:b/>
      <w:bCs/>
      <w:color w:val="074159"/>
      <w:sz w:val="40"/>
      <w:szCs w:val="40"/>
    </w:rPr>
  </w:style>
  <w:style w:type="character" w:customStyle="1" w:styleId="TPHTitleStyleChar">
    <w:name w:val="TPH Title Style Char"/>
    <w:basedOn w:val="DefaultParagraphFont"/>
    <w:link w:val="TPHTitleStyle"/>
    <w:rsid w:val="003066D9"/>
    <w:rPr>
      <w:rFonts w:ascii="Cera Pro" w:eastAsia="Times New Roman" w:hAnsi="Cera Pro" w:cs="Times New Roman"/>
      <w:b/>
      <w:bCs/>
      <w:color w:val="074159"/>
      <w:sz w:val="40"/>
      <w:szCs w:val="40"/>
    </w:rPr>
  </w:style>
  <w:style w:type="character" w:customStyle="1" w:styleId="ListParagraphChar">
    <w:name w:val="List Paragraph Char"/>
    <w:basedOn w:val="DefaultParagraphFont"/>
    <w:link w:val="ListParagraph"/>
    <w:uiPriority w:val="34"/>
    <w:rsid w:val="003066D9"/>
    <w:rPr>
      <w:rFonts w:ascii="Arial" w:eastAsiaTheme="minorEastAsia" w:hAnsi="Arial" w:cs="Times New Roman"/>
      <w:sz w:val="24"/>
    </w:rPr>
  </w:style>
  <w:style w:type="character" w:styleId="CommentReference">
    <w:name w:val="annotation reference"/>
    <w:basedOn w:val="DefaultParagraphFont"/>
    <w:uiPriority w:val="99"/>
    <w:semiHidden/>
    <w:unhideWhenUsed/>
    <w:rsid w:val="00E1046C"/>
    <w:rPr>
      <w:sz w:val="16"/>
      <w:szCs w:val="16"/>
    </w:rPr>
  </w:style>
  <w:style w:type="paragraph" w:styleId="Revision">
    <w:name w:val="Revision"/>
    <w:hidden/>
    <w:uiPriority w:val="99"/>
    <w:semiHidden/>
    <w:rsid w:val="003437FE"/>
    <w:pPr>
      <w:spacing w:after="0" w:line="240" w:lineRule="auto"/>
    </w:pPr>
    <w:rPr>
      <w:rFonts w:ascii="Arial" w:eastAsiaTheme="minorEastAsia" w:hAnsi="Arial" w:cs="Times New Roman"/>
      <w:sz w:val="24"/>
    </w:rPr>
  </w:style>
  <w:style w:type="table" w:customStyle="1" w:styleId="TableGrid1">
    <w:name w:val="Table Grid1"/>
    <w:basedOn w:val="TableNormal"/>
    <w:next w:val="TableGrid"/>
    <w:uiPriority w:val="59"/>
    <w:rsid w:val="00196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B6A4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
    <w:name w:val="Grid Table 1 Light"/>
    <w:basedOn w:val="TableNormal"/>
    <w:uiPriority w:val="46"/>
    <w:rsid w:val="00EC01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
    <w:name w:val="body"/>
    <w:basedOn w:val="Normal"/>
    <w:link w:val="bodyChar"/>
    <w:qFormat/>
    <w:rsid w:val="00350414"/>
    <w:pPr>
      <w:autoSpaceDE w:val="0"/>
      <w:autoSpaceDN w:val="0"/>
      <w:adjustRightInd w:val="0"/>
      <w:spacing w:before="0"/>
    </w:pPr>
    <w:rPr>
      <w:rFonts w:eastAsia="Times New Roman" w:cs="Arial"/>
      <w:sz w:val="22"/>
      <w:szCs w:val="24"/>
    </w:rPr>
  </w:style>
  <w:style w:type="character" w:customStyle="1" w:styleId="bodyChar">
    <w:name w:val="body Char"/>
    <w:link w:val="body"/>
    <w:rsid w:val="00350414"/>
    <w:rPr>
      <w:rFonts w:ascii="Arial" w:eastAsia="Times New Roman" w:hAnsi="Arial" w:cs="Arial"/>
      <w:szCs w:val="24"/>
    </w:rPr>
  </w:style>
  <w:style w:type="character" w:styleId="IntenseEmphasis">
    <w:name w:val="Intense Emphasis"/>
    <w:basedOn w:val="DefaultParagraphFont"/>
    <w:uiPriority w:val="21"/>
    <w:qFormat/>
    <w:rsid w:val="00D937B0"/>
    <w:rPr>
      <w:i/>
      <w:iCs/>
      <w:color w:val="4F81BD" w:themeColor="accent1"/>
    </w:rPr>
  </w:style>
  <w:style w:type="table" w:styleId="PlainTable4">
    <w:name w:val="Plain Table 4"/>
    <w:basedOn w:val="TableNormal"/>
    <w:uiPriority w:val="44"/>
    <w:rsid w:val="00875C8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875C8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StyleLeft127cmChar">
    <w:name w:val="Style Left:  1.27 cm Char"/>
    <w:basedOn w:val="DefaultParagraphFont"/>
    <w:link w:val="StyleLeft127cm"/>
    <w:locked/>
    <w:rsid w:val="001740CA"/>
    <w:rPr>
      <w:rFonts w:ascii="Arial" w:hAnsi="Arial" w:cs="Arial"/>
    </w:rPr>
  </w:style>
  <w:style w:type="paragraph" w:customStyle="1" w:styleId="StyleLeft127cm">
    <w:name w:val="Style Left:  1.27 cm"/>
    <w:basedOn w:val="Normal"/>
    <w:link w:val="StyleLeft127cmChar"/>
    <w:rsid w:val="001740CA"/>
    <w:pPr>
      <w:spacing w:before="0" w:after="120"/>
      <w:ind w:left="720"/>
    </w:pPr>
    <w:rPr>
      <w:rFonts w:eastAsiaTheme="minorHAnsi"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3005">
      <w:bodyDiv w:val="1"/>
      <w:marLeft w:val="0"/>
      <w:marRight w:val="0"/>
      <w:marTop w:val="0"/>
      <w:marBottom w:val="0"/>
      <w:divBdr>
        <w:top w:val="none" w:sz="0" w:space="0" w:color="auto"/>
        <w:left w:val="none" w:sz="0" w:space="0" w:color="auto"/>
        <w:bottom w:val="none" w:sz="0" w:space="0" w:color="auto"/>
        <w:right w:val="none" w:sz="0" w:space="0" w:color="auto"/>
      </w:divBdr>
    </w:div>
    <w:div w:id="19284710">
      <w:bodyDiv w:val="1"/>
      <w:marLeft w:val="0"/>
      <w:marRight w:val="0"/>
      <w:marTop w:val="0"/>
      <w:marBottom w:val="0"/>
      <w:divBdr>
        <w:top w:val="none" w:sz="0" w:space="0" w:color="auto"/>
        <w:left w:val="none" w:sz="0" w:space="0" w:color="auto"/>
        <w:bottom w:val="none" w:sz="0" w:space="0" w:color="auto"/>
        <w:right w:val="none" w:sz="0" w:space="0" w:color="auto"/>
      </w:divBdr>
    </w:div>
    <w:div w:id="21564799">
      <w:bodyDiv w:val="1"/>
      <w:marLeft w:val="0"/>
      <w:marRight w:val="0"/>
      <w:marTop w:val="0"/>
      <w:marBottom w:val="0"/>
      <w:divBdr>
        <w:top w:val="none" w:sz="0" w:space="0" w:color="auto"/>
        <w:left w:val="none" w:sz="0" w:space="0" w:color="auto"/>
        <w:bottom w:val="none" w:sz="0" w:space="0" w:color="auto"/>
        <w:right w:val="none" w:sz="0" w:space="0" w:color="auto"/>
      </w:divBdr>
    </w:div>
    <w:div w:id="108400605">
      <w:bodyDiv w:val="1"/>
      <w:marLeft w:val="0"/>
      <w:marRight w:val="0"/>
      <w:marTop w:val="0"/>
      <w:marBottom w:val="0"/>
      <w:divBdr>
        <w:top w:val="none" w:sz="0" w:space="0" w:color="auto"/>
        <w:left w:val="none" w:sz="0" w:space="0" w:color="auto"/>
        <w:bottom w:val="none" w:sz="0" w:space="0" w:color="auto"/>
        <w:right w:val="none" w:sz="0" w:space="0" w:color="auto"/>
      </w:divBdr>
    </w:div>
    <w:div w:id="164369506">
      <w:bodyDiv w:val="1"/>
      <w:marLeft w:val="0"/>
      <w:marRight w:val="0"/>
      <w:marTop w:val="0"/>
      <w:marBottom w:val="0"/>
      <w:divBdr>
        <w:top w:val="none" w:sz="0" w:space="0" w:color="auto"/>
        <w:left w:val="none" w:sz="0" w:space="0" w:color="auto"/>
        <w:bottom w:val="none" w:sz="0" w:space="0" w:color="auto"/>
        <w:right w:val="none" w:sz="0" w:space="0" w:color="auto"/>
      </w:divBdr>
    </w:div>
    <w:div w:id="182012790">
      <w:bodyDiv w:val="1"/>
      <w:marLeft w:val="0"/>
      <w:marRight w:val="0"/>
      <w:marTop w:val="0"/>
      <w:marBottom w:val="0"/>
      <w:divBdr>
        <w:top w:val="none" w:sz="0" w:space="0" w:color="auto"/>
        <w:left w:val="none" w:sz="0" w:space="0" w:color="auto"/>
        <w:bottom w:val="none" w:sz="0" w:space="0" w:color="auto"/>
        <w:right w:val="none" w:sz="0" w:space="0" w:color="auto"/>
      </w:divBdr>
    </w:div>
    <w:div w:id="203493212">
      <w:bodyDiv w:val="1"/>
      <w:marLeft w:val="0"/>
      <w:marRight w:val="0"/>
      <w:marTop w:val="0"/>
      <w:marBottom w:val="0"/>
      <w:divBdr>
        <w:top w:val="none" w:sz="0" w:space="0" w:color="auto"/>
        <w:left w:val="none" w:sz="0" w:space="0" w:color="auto"/>
        <w:bottom w:val="none" w:sz="0" w:space="0" w:color="auto"/>
        <w:right w:val="none" w:sz="0" w:space="0" w:color="auto"/>
      </w:divBdr>
    </w:div>
    <w:div w:id="237325602">
      <w:bodyDiv w:val="1"/>
      <w:marLeft w:val="0"/>
      <w:marRight w:val="0"/>
      <w:marTop w:val="0"/>
      <w:marBottom w:val="0"/>
      <w:divBdr>
        <w:top w:val="none" w:sz="0" w:space="0" w:color="auto"/>
        <w:left w:val="none" w:sz="0" w:space="0" w:color="auto"/>
        <w:bottom w:val="none" w:sz="0" w:space="0" w:color="auto"/>
        <w:right w:val="none" w:sz="0" w:space="0" w:color="auto"/>
      </w:divBdr>
    </w:div>
    <w:div w:id="238564886">
      <w:bodyDiv w:val="1"/>
      <w:marLeft w:val="0"/>
      <w:marRight w:val="0"/>
      <w:marTop w:val="0"/>
      <w:marBottom w:val="0"/>
      <w:divBdr>
        <w:top w:val="none" w:sz="0" w:space="0" w:color="auto"/>
        <w:left w:val="none" w:sz="0" w:space="0" w:color="auto"/>
        <w:bottom w:val="none" w:sz="0" w:space="0" w:color="auto"/>
        <w:right w:val="none" w:sz="0" w:space="0" w:color="auto"/>
      </w:divBdr>
    </w:div>
    <w:div w:id="240724756">
      <w:bodyDiv w:val="1"/>
      <w:marLeft w:val="0"/>
      <w:marRight w:val="0"/>
      <w:marTop w:val="0"/>
      <w:marBottom w:val="0"/>
      <w:divBdr>
        <w:top w:val="none" w:sz="0" w:space="0" w:color="auto"/>
        <w:left w:val="none" w:sz="0" w:space="0" w:color="auto"/>
        <w:bottom w:val="none" w:sz="0" w:space="0" w:color="auto"/>
        <w:right w:val="none" w:sz="0" w:space="0" w:color="auto"/>
      </w:divBdr>
    </w:div>
    <w:div w:id="344672156">
      <w:bodyDiv w:val="1"/>
      <w:marLeft w:val="0"/>
      <w:marRight w:val="0"/>
      <w:marTop w:val="0"/>
      <w:marBottom w:val="0"/>
      <w:divBdr>
        <w:top w:val="none" w:sz="0" w:space="0" w:color="auto"/>
        <w:left w:val="none" w:sz="0" w:space="0" w:color="auto"/>
        <w:bottom w:val="none" w:sz="0" w:space="0" w:color="auto"/>
        <w:right w:val="none" w:sz="0" w:space="0" w:color="auto"/>
      </w:divBdr>
    </w:div>
    <w:div w:id="348609884">
      <w:bodyDiv w:val="1"/>
      <w:marLeft w:val="0"/>
      <w:marRight w:val="0"/>
      <w:marTop w:val="0"/>
      <w:marBottom w:val="0"/>
      <w:divBdr>
        <w:top w:val="none" w:sz="0" w:space="0" w:color="auto"/>
        <w:left w:val="none" w:sz="0" w:space="0" w:color="auto"/>
        <w:bottom w:val="none" w:sz="0" w:space="0" w:color="auto"/>
        <w:right w:val="none" w:sz="0" w:space="0" w:color="auto"/>
      </w:divBdr>
    </w:div>
    <w:div w:id="355155041">
      <w:bodyDiv w:val="1"/>
      <w:marLeft w:val="0"/>
      <w:marRight w:val="0"/>
      <w:marTop w:val="0"/>
      <w:marBottom w:val="0"/>
      <w:divBdr>
        <w:top w:val="none" w:sz="0" w:space="0" w:color="auto"/>
        <w:left w:val="none" w:sz="0" w:space="0" w:color="auto"/>
        <w:bottom w:val="none" w:sz="0" w:space="0" w:color="auto"/>
        <w:right w:val="none" w:sz="0" w:space="0" w:color="auto"/>
      </w:divBdr>
    </w:div>
    <w:div w:id="365788060">
      <w:bodyDiv w:val="1"/>
      <w:marLeft w:val="0"/>
      <w:marRight w:val="0"/>
      <w:marTop w:val="0"/>
      <w:marBottom w:val="0"/>
      <w:divBdr>
        <w:top w:val="none" w:sz="0" w:space="0" w:color="auto"/>
        <w:left w:val="none" w:sz="0" w:space="0" w:color="auto"/>
        <w:bottom w:val="none" w:sz="0" w:space="0" w:color="auto"/>
        <w:right w:val="none" w:sz="0" w:space="0" w:color="auto"/>
      </w:divBdr>
    </w:div>
    <w:div w:id="415589276">
      <w:bodyDiv w:val="1"/>
      <w:marLeft w:val="0"/>
      <w:marRight w:val="0"/>
      <w:marTop w:val="0"/>
      <w:marBottom w:val="0"/>
      <w:divBdr>
        <w:top w:val="none" w:sz="0" w:space="0" w:color="auto"/>
        <w:left w:val="none" w:sz="0" w:space="0" w:color="auto"/>
        <w:bottom w:val="none" w:sz="0" w:space="0" w:color="auto"/>
        <w:right w:val="none" w:sz="0" w:space="0" w:color="auto"/>
      </w:divBdr>
    </w:div>
    <w:div w:id="432016819">
      <w:bodyDiv w:val="1"/>
      <w:marLeft w:val="0"/>
      <w:marRight w:val="0"/>
      <w:marTop w:val="0"/>
      <w:marBottom w:val="0"/>
      <w:divBdr>
        <w:top w:val="none" w:sz="0" w:space="0" w:color="auto"/>
        <w:left w:val="none" w:sz="0" w:space="0" w:color="auto"/>
        <w:bottom w:val="none" w:sz="0" w:space="0" w:color="auto"/>
        <w:right w:val="none" w:sz="0" w:space="0" w:color="auto"/>
      </w:divBdr>
    </w:div>
    <w:div w:id="444346228">
      <w:bodyDiv w:val="1"/>
      <w:marLeft w:val="0"/>
      <w:marRight w:val="0"/>
      <w:marTop w:val="0"/>
      <w:marBottom w:val="0"/>
      <w:divBdr>
        <w:top w:val="none" w:sz="0" w:space="0" w:color="auto"/>
        <w:left w:val="none" w:sz="0" w:space="0" w:color="auto"/>
        <w:bottom w:val="none" w:sz="0" w:space="0" w:color="auto"/>
        <w:right w:val="none" w:sz="0" w:space="0" w:color="auto"/>
      </w:divBdr>
    </w:div>
    <w:div w:id="463274320">
      <w:bodyDiv w:val="1"/>
      <w:marLeft w:val="0"/>
      <w:marRight w:val="0"/>
      <w:marTop w:val="0"/>
      <w:marBottom w:val="0"/>
      <w:divBdr>
        <w:top w:val="none" w:sz="0" w:space="0" w:color="auto"/>
        <w:left w:val="none" w:sz="0" w:space="0" w:color="auto"/>
        <w:bottom w:val="none" w:sz="0" w:space="0" w:color="auto"/>
        <w:right w:val="none" w:sz="0" w:space="0" w:color="auto"/>
      </w:divBdr>
    </w:div>
    <w:div w:id="470908121">
      <w:bodyDiv w:val="1"/>
      <w:marLeft w:val="0"/>
      <w:marRight w:val="0"/>
      <w:marTop w:val="0"/>
      <w:marBottom w:val="0"/>
      <w:divBdr>
        <w:top w:val="none" w:sz="0" w:space="0" w:color="auto"/>
        <w:left w:val="none" w:sz="0" w:space="0" w:color="auto"/>
        <w:bottom w:val="none" w:sz="0" w:space="0" w:color="auto"/>
        <w:right w:val="none" w:sz="0" w:space="0" w:color="auto"/>
      </w:divBdr>
    </w:div>
    <w:div w:id="508256165">
      <w:bodyDiv w:val="1"/>
      <w:marLeft w:val="0"/>
      <w:marRight w:val="0"/>
      <w:marTop w:val="0"/>
      <w:marBottom w:val="0"/>
      <w:divBdr>
        <w:top w:val="none" w:sz="0" w:space="0" w:color="auto"/>
        <w:left w:val="none" w:sz="0" w:space="0" w:color="auto"/>
        <w:bottom w:val="none" w:sz="0" w:space="0" w:color="auto"/>
        <w:right w:val="none" w:sz="0" w:space="0" w:color="auto"/>
      </w:divBdr>
      <w:divsChild>
        <w:div w:id="801581587">
          <w:marLeft w:val="547"/>
          <w:marRight w:val="0"/>
          <w:marTop w:val="0"/>
          <w:marBottom w:val="0"/>
          <w:divBdr>
            <w:top w:val="none" w:sz="0" w:space="0" w:color="auto"/>
            <w:left w:val="none" w:sz="0" w:space="0" w:color="auto"/>
            <w:bottom w:val="none" w:sz="0" w:space="0" w:color="auto"/>
            <w:right w:val="none" w:sz="0" w:space="0" w:color="auto"/>
          </w:divBdr>
        </w:div>
      </w:divsChild>
    </w:div>
    <w:div w:id="561334336">
      <w:bodyDiv w:val="1"/>
      <w:marLeft w:val="0"/>
      <w:marRight w:val="0"/>
      <w:marTop w:val="0"/>
      <w:marBottom w:val="0"/>
      <w:divBdr>
        <w:top w:val="none" w:sz="0" w:space="0" w:color="auto"/>
        <w:left w:val="none" w:sz="0" w:space="0" w:color="auto"/>
        <w:bottom w:val="none" w:sz="0" w:space="0" w:color="auto"/>
        <w:right w:val="none" w:sz="0" w:space="0" w:color="auto"/>
      </w:divBdr>
    </w:div>
    <w:div w:id="589701266">
      <w:bodyDiv w:val="1"/>
      <w:marLeft w:val="0"/>
      <w:marRight w:val="0"/>
      <w:marTop w:val="0"/>
      <w:marBottom w:val="0"/>
      <w:divBdr>
        <w:top w:val="none" w:sz="0" w:space="0" w:color="auto"/>
        <w:left w:val="none" w:sz="0" w:space="0" w:color="auto"/>
        <w:bottom w:val="none" w:sz="0" w:space="0" w:color="auto"/>
        <w:right w:val="none" w:sz="0" w:space="0" w:color="auto"/>
      </w:divBdr>
    </w:div>
    <w:div w:id="641810506">
      <w:bodyDiv w:val="1"/>
      <w:marLeft w:val="0"/>
      <w:marRight w:val="0"/>
      <w:marTop w:val="0"/>
      <w:marBottom w:val="0"/>
      <w:divBdr>
        <w:top w:val="none" w:sz="0" w:space="0" w:color="auto"/>
        <w:left w:val="none" w:sz="0" w:space="0" w:color="auto"/>
        <w:bottom w:val="none" w:sz="0" w:space="0" w:color="auto"/>
        <w:right w:val="none" w:sz="0" w:space="0" w:color="auto"/>
      </w:divBdr>
    </w:div>
    <w:div w:id="661354599">
      <w:bodyDiv w:val="1"/>
      <w:marLeft w:val="0"/>
      <w:marRight w:val="0"/>
      <w:marTop w:val="0"/>
      <w:marBottom w:val="0"/>
      <w:divBdr>
        <w:top w:val="none" w:sz="0" w:space="0" w:color="auto"/>
        <w:left w:val="none" w:sz="0" w:space="0" w:color="auto"/>
        <w:bottom w:val="none" w:sz="0" w:space="0" w:color="auto"/>
        <w:right w:val="none" w:sz="0" w:space="0" w:color="auto"/>
      </w:divBdr>
    </w:div>
    <w:div w:id="766929461">
      <w:bodyDiv w:val="1"/>
      <w:marLeft w:val="0"/>
      <w:marRight w:val="0"/>
      <w:marTop w:val="0"/>
      <w:marBottom w:val="0"/>
      <w:divBdr>
        <w:top w:val="none" w:sz="0" w:space="0" w:color="auto"/>
        <w:left w:val="none" w:sz="0" w:space="0" w:color="auto"/>
        <w:bottom w:val="none" w:sz="0" w:space="0" w:color="auto"/>
        <w:right w:val="none" w:sz="0" w:space="0" w:color="auto"/>
      </w:divBdr>
    </w:div>
    <w:div w:id="823132811">
      <w:bodyDiv w:val="1"/>
      <w:marLeft w:val="0"/>
      <w:marRight w:val="0"/>
      <w:marTop w:val="0"/>
      <w:marBottom w:val="0"/>
      <w:divBdr>
        <w:top w:val="none" w:sz="0" w:space="0" w:color="auto"/>
        <w:left w:val="none" w:sz="0" w:space="0" w:color="auto"/>
        <w:bottom w:val="none" w:sz="0" w:space="0" w:color="auto"/>
        <w:right w:val="none" w:sz="0" w:space="0" w:color="auto"/>
      </w:divBdr>
    </w:div>
    <w:div w:id="868372616">
      <w:bodyDiv w:val="1"/>
      <w:marLeft w:val="0"/>
      <w:marRight w:val="0"/>
      <w:marTop w:val="0"/>
      <w:marBottom w:val="0"/>
      <w:divBdr>
        <w:top w:val="none" w:sz="0" w:space="0" w:color="auto"/>
        <w:left w:val="none" w:sz="0" w:space="0" w:color="auto"/>
        <w:bottom w:val="none" w:sz="0" w:space="0" w:color="auto"/>
        <w:right w:val="none" w:sz="0" w:space="0" w:color="auto"/>
      </w:divBdr>
    </w:div>
    <w:div w:id="886064362">
      <w:bodyDiv w:val="1"/>
      <w:marLeft w:val="0"/>
      <w:marRight w:val="0"/>
      <w:marTop w:val="0"/>
      <w:marBottom w:val="0"/>
      <w:divBdr>
        <w:top w:val="none" w:sz="0" w:space="0" w:color="auto"/>
        <w:left w:val="none" w:sz="0" w:space="0" w:color="auto"/>
        <w:bottom w:val="none" w:sz="0" w:space="0" w:color="auto"/>
        <w:right w:val="none" w:sz="0" w:space="0" w:color="auto"/>
      </w:divBdr>
    </w:div>
    <w:div w:id="944382874">
      <w:bodyDiv w:val="1"/>
      <w:marLeft w:val="0"/>
      <w:marRight w:val="0"/>
      <w:marTop w:val="0"/>
      <w:marBottom w:val="0"/>
      <w:divBdr>
        <w:top w:val="none" w:sz="0" w:space="0" w:color="auto"/>
        <w:left w:val="none" w:sz="0" w:space="0" w:color="auto"/>
        <w:bottom w:val="none" w:sz="0" w:space="0" w:color="auto"/>
        <w:right w:val="none" w:sz="0" w:space="0" w:color="auto"/>
      </w:divBdr>
    </w:div>
    <w:div w:id="1052850715">
      <w:bodyDiv w:val="1"/>
      <w:marLeft w:val="0"/>
      <w:marRight w:val="0"/>
      <w:marTop w:val="0"/>
      <w:marBottom w:val="0"/>
      <w:divBdr>
        <w:top w:val="none" w:sz="0" w:space="0" w:color="auto"/>
        <w:left w:val="none" w:sz="0" w:space="0" w:color="auto"/>
        <w:bottom w:val="none" w:sz="0" w:space="0" w:color="auto"/>
        <w:right w:val="none" w:sz="0" w:space="0" w:color="auto"/>
      </w:divBdr>
    </w:div>
    <w:div w:id="1077284882">
      <w:bodyDiv w:val="1"/>
      <w:marLeft w:val="0"/>
      <w:marRight w:val="0"/>
      <w:marTop w:val="0"/>
      <w:marBottom w:val="0"/>
      <w:divBdr>
        <w:top w:val="none" w:sz="0" w:space="0" w:color="auto"/>
        <w:left w:val="none" w:sz="0" w:space="0" w:color="auto"/>
        <w:bottom w:val="none" w:sz="0" w:space="0" w:color="auto"/>
        <w:right w:val="none" w:sz="0" w:space="0" w:color="auto"/>
      </w:divBdr>
    </w:div>
    <w:div w:id="1094321462">
      <w:bodyDiv w:val="1"/>
      <w:marLeft w:val="0"/>
      <w:marRight w:val="0"/>
      <w:marTop w:val="0"/>
      <w:marBottom w:val="0"/>
      <w:divBdr>
        <w:top w:val="none" w:sz="0" w:space="0" w:color="auto"/>
        <w:left w:val="none" w:sz="0" w:space="0" w:color="auto"/>
        <w:bottom w:val="none" w:sz="0" w:space="0" w:color="auto"/>
        <w:right w:val="none" w:sz="0" w:space="0" w:color="auto"/>
      </w:divBdr>
    </w:div>
    <w:div w:id="1142386163">
      <w:bodyDiv w:val="1"/>
      <w:marLeft w:val="0"/>
      <w:marRight w:val="0"/>
      <w:marTop w:val="0"/>
      <w:marBottom w:val="0"/>
      <w:divBdr>
        <w:top w:val="none" w:sz="0" w:space="0" w:color="auto"/>
        <w:left w:val="none" w:sz="0" w:space="0" w:color="auto"/>
        <w:bottom w:val="none" w:sz="0" w:space="0" w:color="auto"/>
        <w:right w:val="none" w:sz="0" w:space="0" w:color="auto"/>
      </w:divBdr>
    </w:div>
    <w:div w:id="1330517721">
      <w:bodyDiv w:val="1"/>
      <w:marLeft w:val="0"/>
      <w:marRight w:val="0"/>
      <w:marTop w:val="0"/>
      <w:marBottom w:val="0"/>
      <w:divBdr>
        <w:top w:val="none" w:sz="0" w:space="0" w:color="auto"/>
        <w:left w:val="none" w:sz="0" w:space="0" w:color="auto"/>
        <w:bottom w:val="none" w:sz="0" w:space="0" w:color="auto"/>
        <w:right w:val="none" w:sz="0" w:space="0" w:color="auto"/>
      </w:divBdr>
    </w:div>
    <w:div w:id="1362127158">
      <w:bodyDiv w:val="1"/>
      <w:marLeft w:val="0"/>
      <w:marRight w:val="0"/>
      <w:marTop w:val="0"/>
      <w:marBottom w:val="0"/>
      <w:divBdr>
        <w:top w:val="none" w:sz="0" w:space="0" w:color="auto"/>
        <w:left w:val="none" w:sz="0" w:space="0" w:color="auto"/>
        <w:bottom w:val="none" w:sz="0" w:space="0" w:color="auto"/>
        <w:right w:val="none" w:sz="0" w:space="0" w:color="auto"/>
      </w:divBdr>
    </w:div>
    <w:div w:id="1362316503">
      <w:bodyDiv w:val="1"/>
      <w:marLeft w:val="0"/>
      <w:marRight w:val="0"/>
      <w:marTop w:val="0"/>
      <w:marBottom w:val="0"/>
      <w:divBdr>
        <w:top w:val="none" w:sz="0" w:space="0" w:color="auto"/>
        <w:left w:val="none" w:sz="0" w:space="0" w:color="auto"/>
        <w:bottom w:val="none" w:sz="0" w:space="0" w:color="auto"/>
        <w:right w:val="none" w:sz="0" w:space="0" w:color="auto"/>
      </w:divBdr>
    </w:div>
    <w:div w:id="1374886693">
      <w:bodyDiv w:val="1"/>
      <w:marLeft w:val="0"/>
      <w:marRight w:val="0"/>
      <w:marTop w:val="0"/>
      <w:marBottom w:val="0"/>
      <w:divBdr>
        <w:top w:val="none" w:sz="0" w:space="0" w:color="auto"/>
        <w:left w:val="none" w:sz="0" w:space="0" w:color="auto"/>
        <w:bottom w:val="none" w:sz="0" w:space="0" w:color="auto"/>
        <w:right w:val="none" w:sz="0" w:space="0" w:color="auto"/>
      </w:divBdr>
    </w:div>
    <w:div w:id="1522663543">
      <w:bodyDiv w:val="1"/>
      <w:marLeft w:val="0"/>
      <w:marRight w:val="0"/>
      <w:marTop w:val="0"/>
      <w:marBottom w:val="0"/>
      <w:divBdr>
        <w:top w:val="none" w:sz="0" w:space="0" w:color="auto"/>
        <w:left w:val="none" w:sz="0" w:space="0" w:color="auto"/>
        <w:bottom w:val="none" w:sz="0" w:space="0" w:color="auto"/>
        <w:right w:val="none" w:sz="0" w:space="0" w:color="auto"/>
      </w:divBdr>
    </w:div>
    <w:div w:id="1540630649">
      <w:bodyDiv w:val="1"/>
      <w:marLeft w:val="0"/>
      <w:marRight w:val="0"/>
      <w:marTop w:val="0"/>
      <w:marBottom w:val="0"/>
      <w:divBdr>
        <w:top w:val="none" w:sz="0" w:space="0" w:color="auto"/>
        <w:left w:val="none" w:sz="0" w:space="0" w:color="auto"/>
        <w:bottom w:val="none" w:sz="0" w:space="0" w:color="auto"/>
        <w:right w:val="none" w:sz="0" w:space="0" w:color="auto"/>
      </w:divBdr>
    </w:div>
    <w:div w:id="1553610434">
      <w:bodyDiv w:val="1"/>
      <w:marLeft w:val="0"/>
      <w:marRight w:val="0"/>
      <w:marTop w:val="0"/>
      <w:marBottom w:val="0"/>
      <w:divBdr>
        <w:top w:val="none" w:sz="0" w:space="0" w:color="auto"/>
        <w:left w:val="none" w:sz="0" w:space="0" w:color="auto"/>
        <w:bottom w:val="none" w:sz="0" w:space="0" w:color="auto"/>
        <w:right w:val="none" w:sz="0" w:space="0" w:color="auto"/>
      </w:divBdr>
    </w:div>
    <w:div w:id="1569657009">
      <w:bodyDiv w:val="1"/>
      <w:marLeft w:val="0"/>
      <w:marRight w:val="0"/>
      <w:marTop w:val="0"/>
      <w:marBottom w:val="0"/>
      <w:divBdr>
        <w:top w:val="none" w:sz="0" w:space="0" w:color="auto"/>
        <w:left w:val="none" w:sz="0" w:space="0" w:color="auto"/>
        <w:bottom w:val="none" w:sz="0" w:space="0" w:color="auto"/>
        <w:right w:val="none" w:sz="0" w:space="0" w:color="auto"/>
      </w:divBdr>
    </w:div>
    <w:div w:id="1595741701">
      <w:bodyDiv w:val="1"/>
      <w:marLeft w:val="0"/>
      <w:marRight w:val="0"/>
      <w:marTop w:val="0"/>
      <w:marBottom w:val="0"/>
      <w:divBdr>
        <w:top w:val="none" w:sz="0" w:space="0" w:color="auto"/>
        <w:left w:val="none" w:sz="0" w:space="0" w:color="auto"/>
        <w:bottom w:val="none" w:sz="0" w:space="0" w:color="auto"/>
        <w:right w:val="none" w:sz="0" w:space="0" w:color="auto"/>
      </w:divBdr>
    </w:div>
    <w:div w:id="1644040616">
      <w:bodyDiv w:val="1"/>
      <w:marLeft w:val="0"/>
      <w:marRight w:val="0"/>
      <w:marTop w:val="0"/>
      <w:marBottom w:val="0"/>
      <w:divBdr>
        <w:top w:val="none" w:sz="0" w:space="0" w:color="auto"/>
        <w:left w:val="none" w:sz="0" w:space="0" w:color="auto"/>
        <w:bottom w:val="none" w:sz="0" w:space="0" w:color="auto"/>
        <w:right w:val="none" w:sz="0" w:space="0" w:color="auto"/>
      </w:divBdr>
    </w:div>
    <w:div w:id="1716392057">
      <w:bodyDiv w:val="1"/>
      <w:marLeft w:val="0"/>
      <w:marRight w:val="0"/>
      <w:marTop w:val="0"/>
      <w:marBottom w:val="0"/>
      <w:divBdr>
        <w:top w:val="none" w:sz="0" w:space="0" w:color="auto"/>
        <w:left w:val="none" w:sz="0" w:space="0" w:color="auto"/>
        <w:bottom w:val="none" w:sz="0" w:space="0" w:color="auto"/>
        <w:right w:val="none" w:sz="0" w:space="0" w:color="auto"/>
      </w:divBdr>
    </w:div>
    <w:div w:id="1721244926">
      <w:bodyDiv w:val="1"/>
      <w:marLeft w:val="0"/>
      <w:marRight w:val="0"/>
      <w:marTop w:val="0"/>
      <w:marBottom w:val="0"/>
      <w:divBdr>
        <w:top w:val="none" w:sz="0" w:space="0" w:color="auto"/>
        <w:left w:val="none" w:sz="0" w:space="0" w:color="auto"/>
        <w:bottom w:val="none" w:sz="0" w:space="0" w:color="auto"/>
        <w:right w:val="none" w:sz="0" w:space="0" w:color="auto"/>
      </w:divBdr>
    </w:div>
    <w:div w:id="1752240050">
      <w:bodyDiv w:val="1"/>
      <w:marLeft w:val="0"/>
      <w:marRight w:val="0"/>
      <w:marTop w:val="0"/>
      <w:marBottom w:val="0"/>
      <w:divBdr>
        <w:top w:val="none" w:sz="0" w:space="0" w:color="auto"/>
        <w:left w:val="none" w:sz="0" w:space="0" w:color="auto"/>
        <w:bottom w:val="none" w:sz="0" w:space="0" w:color="auto"/>
        <w:right w:val="none" w:sz="0" w:space="0" w:color="auto"/>
      </w:divBdr>
    </w:div>
    <w:div w:id="1824810682">
      <w:bodyDiv w:val="1"/>
      <w:marLeft w:val="0"/>
      <w:marRight w:val="0"/>
      <w:marTop w:val="0"/>
      <w:marBottom w:val="0"/>
      <w:divBdr>
        <w:top w:val="none" w:sz="0" w:space="0" w:color="auto"/>
        <w:left w:val="none" w:sz="0" w:space="0" w:color="auto"/>
        <w:bottom w:val="none" w:sz="0" w:space="0" w:color="auto"/>
        <w:right w:val="none" w:sz="0" w:space="0" w:color="auto"/>
      </w:divBdr>
    </w:div>
    <w:div w:id="1878199619">
      <w:bodyDiv w:val="1"/>
      <w:marLeft w:val="0"/>
      <w:marRight w:val="0"/>
      <w:marTop w:val="0"/>
      <w:marBottom w:val="0"/>
      <w:divBdr>
        <w:top w:val="none" w:sz="0" w:space="0" w:color="auto"/>
        <w:left w:val="none" w:sz="0" w:space="0" w:color="auto"/>
        <w:bottom w:val="none" w:sz="0" w:space="0" w:color="auto"/>
        <w:right w:val="none" w:sz="0" w:space="0" w:color="auto"/>
      </w:divBdr>
    </w:div>
    <w:div w:id="1896356766">
      <w:bodyDiv w:val="1"/>
      <w:marLeft w:val="0"/>
      <w:marRight w:val="0"/>
      <w:marTop w:val="0"/>
      <w:marBottom w:val="0"/>
      <w:divBdr>
        <w:top w:val="none" w:sz="0" w:space="0" w:color="auto"/>
        <w:left w:val="none" w:sz="0" w:space="0" w:color="auto"/>
        <w:bottom w:val="none" w:sz="0" w:space="0" w:color="auto"/>
        <w:right w:val="none" w:sz="0" w:space="0" w:color="auto"/>
      </w:divBdr>
    </w:div>
    <w:div w:id="1928952874">
      <w:bodyDiv w:val="1"/>
      <w:marLeft w:val="0"/>
      <w:marRight w:val="0"/>
      <w:marTop w:val="0"/>
      <w:marBottom w:val="0"/>
      <w:divBdr>
        <w:top w:val="none" w:sz="0" w:space="0" w:color="auto"/>
        <w:left w:val="none" w:sz="0" w:space="0" w:color="auto"/>
        <w:bottom w:val="none" w:sz="0" w:space="0" w:color="auto"/>
        <w:right w:val="none" w:sz="0" w:space="0" w:color="auto"/>
      </w:divBdr>
    </w:div>
    <w:div w:id="1987512771">
      <w:bodyDiv w:val="1"/>
      <w:marLeft w:val="0"/>
      <w:marRight w:val="0"/>
      <w:marTop w:val="0"/>
      <w:marBottom w:val="0"/>
      <w:divBdr>
        <w:top w:val="none" w:sz="0" w:space="0" w:color="auto"/>
        <w:left w:val="none" w:sz="0" w:space="0" w:color="auto"/>
        <w:bottom w:val="none" w:sz="0" w:space="0" w:color="auto"/>
        <w:right w:val="none" w:sz="0" w:space="0" w:color="auto"/>
      </w:divBdr>
    </w:div>
    <w:div w:id="2028753908">
      <w:bodyDiv w:val="1"/>
      <w:marLeft w:val="0"/>
      <w:marRight w:val="0"/>
      <w:marTop w:val="0"/>
      <w:marBottom w:val="0"/>
      <w:divBdr>
        <w:top w:val="none" w:sz="0" w:space="0" w:color="auto"/>
        <w:left w:val="none" w:sz="0" w:space="0" w:color="auto"/>
        <w:bottom w:val="none" w:sz="0" w:space="0" w:color="auto"/>
        <w:right w:val="none" w:sz="0" w:space="0" w:color="auto"/>
      </w:divBdr>
    </w:div>
    <w:div w:id="2064718194">
      <w:bodyDiv w:val="1"/>
      <w:marLeft w:val="0"/>
      <w:marRight w:val="0"/>
      <w:marTop w:val="0"/>
      <w:marBottom w:val="0"/>
      <w:divBdr>
        <w:top w:val="none" w:sz="0" w:space="0" w:color="auto"/>
        <w:left w:val="none" w:sz="0" w:space="0" w:color="auto"/>
        <w:bottom w:val="none" w:sz="0" w:space="0" w:color="auto"/>
        <w:right w:val="none" w:sz="0" w:space="0" w:color="auto"/>
      </w:divBdr>
    </w:div>
    <w:div w:id="2066903616">
      <w:bodyDiv w:val="1"/>
      <w:marLeft w:val="0"/>
      <w:marRight w:val="0"/>
      <w:marTop w:val="0"/>
      <w:marBottom w:val="0"/>
      <w:divBdr>
        <w:top w:val="none" w:sz="0" w:space="0" w:color="auto"/>
        <w:left w:val="none" w:sz="0" w:space="0" w:color="auto"/>
        <w:bottom w:val="none" w:sz="0" w:space="0" w:color="auto"/>
        <w:right w:val="none" w:sz="0" w:space="0" w:color="auto"/>
      </w:divBdr>
    </w:div>
    <w:div w:id="2104107568">
      <w:bodyDiv w:val="1"/>
      <w:marLeft w:val="0"/>
      <w:marRight w:val="0"/>
      <w:marTop w:val="0"/>
      <w:marBottom w:val="0"/>
      <w:divBdr>
        <w:top w:val="none" w:sz="0" w:space="0" w:color="auto"/>
        <w:left w:val="none" w:sz="0" w:space="0" w:color="auto"/>
        <w:bottom w:val="none" w:sz="0" w:space="0" w:color="auto"/>
        <w:right w:val="none" w:sz="0" w:space="0" w:color="auto"/>
      </w:divBdr>
    </w:div>
    <w:div w:id="2105374596">
      <w:bodyDiv w:val="1"/>
      <w:marLeft w:val="0"/>
      <w:marRight w:val="0"/>
      <w:marTop w:val="0"/>
      <w:marBottom w:val="0"/>
      <w:divBdr>
        <w:top w:val="none" w:sz="0" w:space="0" w:color="auto"/>
        <w:left w:val="none" w:sz="0" w:space="0" w:color="auto"/>
        <w:bottom w:val="none" w:sz="0" w:space="0" w:color="auto"/>
        <w:right w:val="none" w:sz="0" w:space="0" w:color="auto"/>
      </w:divBdr>
    </w:div>
    <w:div w:id="2112697188">
      <w:bodyDiv w:val="1"/>
      <w:marLeft w:val="0"/>
      <w:marRight w:val="0"/>
      <w:marTop w:val="0"/>
      <w:marBottom w:val="0"/>
      <w:divBdr>
        <w:top w:val="none" w:sz="0" w:space="0" w:color="auto"/>
        <w:left w:val="none" w:sz="0" w:space="0" w:color="auto"/>
        <w:bottom w:val="none" w:sz="0" w:space="0" w:color="auto"/>
        <w:right w:val="none" w:sz="0" w:space="0" w:color="auto"/>
      </w:divBdr>
    </w:div>
    <w:div w:id="214716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chart" Target="charts/chart4.xml"/><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emf"/><Relationship Id="rId33" Type="http://schemas.openxmlformats.org/officeDocument/2006/relationships/chart" Target="charts/chart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chart" Target="charts/chart7.xml"/><Relationship Id="rId37"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chart" Target="charts/chart6.xml"/><Relationship Id="rId36" Type="http://schemas.openxmlformats.org/officeDocument/2006/relationships/chart" Target="charts/chart11.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chart" Target="charts/chart5.xml"/><Relationship Id="rId30" Type="http://schemas.openxmlformats.org/officeDocument/2006/relationships/image" Target="media/image15.png"/><Relationship Id="rId35" Type="http://schemas.openxmlformats.org/officeDocument/2006/relationships/chart" Target="charts/chart10.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fileserver1\Usrfiles\Group\Quality%20Management%20Systems\IPC%20QMS\2022-2023\IPC%20Quality%20Management%20System%2022-23%20LIVEv84.xlsm"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fileserver1\Usrfiles\Group\Quality%20Management%20Systems\IPC%20QMS\2022-2023\IPC%20Quality%20Management%20System%2022-23%20LIVEv84.xlsm"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fileserver1\Usrfiles\Group\Quality%20Management%20Systems\IPC%20QMS\2022-2023\IPC%20Quality%20Management%20System%2022-23%20LIVEv84.xlsm"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fileserver1\Usrfiles\Group\Quality%20Management%20Systems\IPC%20QMS\2022-2023\IPC%20Quality%20Management%20System%2022-23%20LIVEv84.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file:///\\Fileserver1\Usrfiles\CENSERV\Secure%20Group\1.%20Cleanliness%20and%20Infection%20Control\C4C\Exports\C4C%20SQL%20Data%20Export\2223%20Q4.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fileserver1\Usrfiles\Group\Quality%20Management%20Systems\IPC%20QMS\2023-2024%20NEW\Restricted\IPC%20Quality%20Management%20System%202023-2024.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ileserver1\Usrfiles\Group\Quality%20Management%20Systems\IPC%20QMS\2023-2024%20NEW\Restricted\IPC%20Quality%20Management%20System%202023-2024.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ileserver1\Usrfiles\Group\Quality%20Management%20Systems\IPC%20QMS\2023-2024%20NEW\Restricted\IPC%20Quality%20Management%20System%202023-2024.xlsm"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fileserver1\Usrfiles\Group\Quality%20Management%20Systems\IPC%20QMS\2022-2023\IPC%20Quality%20Management%20System%2022-23%20LIVEv84.xlsm"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ileserver1\Usrfiles\Group\Quality%20Management%20Systems\IPC%20QMS\2022-2023\IPC%20Quality%20Management%20System%2022-23%20LIVEv84.xlsm"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fileserver1\Usrfiles\Group\Quality%20Management%20Systems\IPC%20QMS\2022-2023\IPC%20Quality%20Management%20System%2022-23%20LIVEv84.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Nova" panose="020B0504020202020204" pitchFamily="34" charset="0"/>
                <a:ea typeface="+mn-ea"/>
                <a:cs typeface="Arial" panose="020B0604020202020204" pitchFamily="34" charset="0"/>
              </a:defRPr>
            </a:pPr>
            <a:r>
              <a:rPr lang="en-GB" sz="1100" b="1" baseline="0">
                <a:solidFill>
                  <a:sysClr val="windowText" lastClr="000000"/>
                </a:solidFill>
                <a:latin typeface="Arial Nova" panose="020B0504020202020204" pitchFamily="34" charset="0"/>
                <a:cs typeface="Arial" panose="020B0604020202020204" pitchFamily="34" charset="0"/>
              </a:rPr>
              <a:t> IPC Audits April 2022- March 23 </a:t>
            </a:r>
            <a:endParaRPr lang="en-GB" sz="1100" b="1">
              <a:solidFill>
                <a:sysClr val="windowText" lastClr="000000"/>
              </a:solidFill>
              <a:latin typeface="Arial Nova" panose="020B0504020202020204" pitchFamily="34" charset="0"/>
              <a:cs typeface="Arial" panose="020B0604020202020204" pitchFamily="34" charset="0"/>
            </a:endParaRPr>
          </a:p>
        </c:rich>
      </c:tx>
      <c:layout>
        <c:manualLayout>
          <c:xMode val="edge"/>
          <c:yMode val="edge"/>
          <c:x val="0.33003189733888572"/>
          <c:y val="1.1114962830903999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Nova" panose="020B05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783804095666336"/>
          <c:y val="0.16163854771816075"/>
          <c:w val="0.87421800250239201"/>
          <c:h val="0.55667502636472377"/>
        </c:manualLayout>
      </c:layout>
      <c:barChart>
        <c:barDir val="col"/>
        <c:grouping val="clustered"/>
        <c:varyColors val="0"/>
        <c:ser>
          <c:idx val="0"/>
          <c:order val="0"/>
          <c:tx>
            <c:strRef>
              <c:f>'Data warehouse'!$C$109</c:f>
              <c:strCache>
                <c:ptCount val="1"/>
                <c:pt idx="0">
                  <c:v>Hand Hygiene &amp; BBE</c:v>
                </c:pt>
              </c:strCache>
            </c:strRef>
          </c:tx>
          <c:spPr>
            <a:solidFill>
              <a:schemeClr val="accent1"/>
            </a:solidFill>
            <a:ln>
              <a:noFill/>
            </a:ln>
            <a:effectLst/>
          </c:spPr>
          <c:invertIfNegative val="0"/>
          <c:cat>
            <c:strRef>
              <c:f>'Data warehouse'!$D$108:$O$108</c:f>
              <c:strCache>
                <c:ptCount val="12"/>
                <c:pt idx="0">
                  <c:v>Apr-22</c:v>
                </c:pt>
                <c:pt idx="1">
                  <c:v>May-22</c:v>
                </c:pt>
                <c:pt idx="2">
                  <c:v>Jun-22</c:v>
                </c:pt>
                <c:pt idx="3">
                  <c:v>Jul-22</c:v>
                </c:pt>
                <c:pt idx="4">
                  <c:v>Aug-22</c:v>
                </c:pt>
                <c:pt idx="5">
                  <c:v>Sep-22</c:v>
                </c:pt>
                <c:pt idx="6">
                  <c:v>Oct-22</c:v>
                </c:pt>
                <c:pt idx="7">
                  <c:v>Nov-22</c:v>
                </c:pt>
                <c:pt idx="8">
                  <c:v>Dec-22</c:v>
                </c:pt>
                <c:pt idx="9">
                  <c:v>Jan-23</c:v>
                </c:pt>
                <c:pt idx="10">
                  <c:v>Feb-23</c:v>
                </c:pt>
                <c:pt idx="11">
                  <c:v>Mar-23</c:v>
                </c:pt>
              </c:strCache>
              <c:extLst/>
            </c:strRef>
          </c:cat>
          <c:val>
            <c:numRef>
              <c:f>'Data warehouse'!$D$109:$O$109</c:f>
              <c:numCache>
                <c:formatCode>0.0%</c:formatCode>
                <c:ptCount val="12"/>
                <c:pt idx="0">
                  <c:v>1</c:v>
                </c:pt>
                <c:pt idx="1">
                  <c:v>0.99241176470588244</c:v>
                </c:pt>
                <c:pt idx="2">
                  <c:v>0.9892749999999999</c:v>
                </c:pt>
                <c:pt idx="3">
                  <c:v>0.99658730158730169</c:v>
                </c:pt>
                <c:pt idx="4">
                  <c:v>1</c:v>
                </c:pt>
                <c:pt idx="5">
                  <c:v>0.98090476190476195</c:v>
                </c:pt>
                <c:pt idx="6">
                  <c:v>0.98319736842105243</c:v>
                </c:pt>
                <c:pt idx="7">
                  <c:v>0.99503124999999992</c:v>
                </c:pt>
                <c:pt idx="8">
                  <c:v>0.99919999999999998</c:v>
                </c:pt>
                <c:pt idx="9">
                  <c:v>0.99512499999999982</c:v>
                </c:pt>
                <c:pt idx="10">
                  <c:v>0.9887135416666667</c:v>
                </c:pt>
                <c:pt idx="11">
                  <c:v>0.98763749999999995</c:v>
                </c:pt>
              </c:numCache>
              <c:extLst/>
            </c:numRef>
          </c:val>
          <c:extLst>
            <c:ext xmlns:c16="http://schemas.microsoft.com/office/drawing/2014/chart" uri="{C3380CC4-5D6E-409C-BE32-E72D297353CC}">
              <c16:uniqueId val="{00000000-7E55-4B77-A2A1-C2B3699AD70F}"/>
            </c:ext>
          </c:extLst>
        </c:ser>
        <c:ser>
          <c:idx val="1"/>
          <c:order val="1"/>
          <c:tx>
            <c:strRef>
              <c:f>'Data warehouse'!$C$110</c:f>
              <c:strCache>
                <c:ptCount val="1"/>
                <c:pt idx="0">
                  <c:v>Environment</c:v>
                </c:pt>
              </c:strCache>
            </c:strRef>
          </c:tx>
          <c:spPr>
            <a:solidFill>
              <a:schemeClr val="accent3">
                <a:lumMod val="75000"/>
              </a:schemeClr>
            </a:solidFill>
            <a:ln>
              <a:noFill/>
            </a:ln>
            <a:effectLst/>
          </c:spPr>
          <c:invertIfNegative val="0"/>
          <c:cat>
            <c:strRef>
              <c:f>'Data warehouse'!$D$108:$O$108</c:f>
              <c:strCache>
                <c:ptCount val="12"/>
                <c:pt idx="0">
                  <c:v>Apr-22</c:v>
                </c:pt>
                <c:pt idx="1">
                  <c:v>May-22</c:v>
                </c:pt>
                <c:pt idx="2">
                  <c:v>Jun-22</c:v>
                </c:pt>
                <c:pt idx="3">
                  <c:v>Jul-22</c:v>
                </c:pt>
                <c:pt idx="4">
                  <c:v>Aug-22</c:v>
                </c:pt>
                <c:pt idx="5">
                  <c:v>Sep-22</c:v>
                </c:pt>
                <c:pt idx="6">
                  <c:v>Oct-22</c:v>
                </c:pt>
                <c:pt idx="7">
                  <c:v>Nov-22</c:v>
                </c:pt>
                <c:pt idx="8">
                  <c:v>Dec-22</c:v>
                </c:pt>
                <c:pt idx="9">
                  <c:v>Jan-23</c:v>
                </c:pt>
                <c:pt idx="10">
                  <c:v>Feb-23</c:v>
                </c:pt>
                <c:pt idx="11">
                  <c:v>Mar-23</c:v>
                </c:pt>
              </c:strCache>
              <c:extLst/>
            </c:strRef>
          </c:cat>
          <c:val>
            <c:numRef>
              <c:f>'Data warehouse'!$D$110:$O$110</c:f>
              <c:numCache>
                <c:formatCode>0.0%</c:formatCode>
                <c:ptCount val="12"/>
                <c:pt idx="0">
                  <c:v>0.98789473684210538</c:v>
                </c:pt>
                <c:pt idx="1">
                  <c:v>0.95726315789473659</c:v>
                </c:pt>
                <c:pt idx="2">
                  <c:v>0.97011764705882353</c:v>
                </c:pt>
                <c:pt idx="3">
                  <c:v>0.96611764705882353</c:v>
                </c:pt>
                <c:pt idx="4">
                  <c:v>0.9575555555555556</c:v>
                </c:pt>
                <c:pt idx="5">
                  <c:v>0.9647</c:v>
                </c:pt>
                <c:pt idx="6">
                  <c:v>0.98176470588235276</c:v>
                </c:pt>
                <c:pt idx="7">
                  <c:v>0.96513333333333329</c:v>
                </c:pt>
                <c:pt idx="8">
                  <c:v>0.97481249999999997</c:v>
                </c:pt>
                <c:pt idx="9">
                  <c:v>0.96570000000000022</c:v>
                </c:pt>
                <c:pt idx="10">
                  <c:v>0.95782142857142849</c:v>
                </c:pt>
                <c:pt idx="11">
                  <c:v>0.96476470588235297</c:v>
                </c:pt>
              </c:numCache>
              <c:extLst/>
            </c:numRef>
          </c:val>
          <c:extLst xmlns:c15="http://schemas.microsoft.com/office/drawing/2012/chart">
            <c:ext xmlns:c16="http://schemas.microsoft.com/office/drawing/2014/chart" uri="{C3380CC4-5D6E-409C-BE32-E72D297353CC}">
              <c16:uniqueId val="{00000001-7E55-4B77-A2A1-C2B3699AD70F}"/>
            </c:ext>
          </c:extLst>
        </c:ser>
        <c:dLbls>
          <c:showLegendKey val="0"/>
          <c:showVal val="0"/>
          <c:showCatName val="0"/>
          <c:showSerName val="0"/>
          <c:showPercent val="0"/>
          <c:showBubbleSize val="0"/>
        </c:dLbls>
        <c:gapWidth val="150"/>
        <c:axId val="100983999"/>
        <c:axId val="100986079"/>
        <c:extLst/>
      </c:barChart>
      <c:catAx>
        <c:axId val="100983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ova" panose="020B0504020202020204" pitchFamily="34" charset="0"/>
                <a:ea typeface="+mn-ea"/>
                <a:cs typeface="Arial" panose="020B0604020202020204" pitchFamily="34" charset="0"/>
              </a:defRPr>
            </a:pPr>
            <a:endParaRPr lang="en-US"/>
          </a:p>
        </c:txPr>
        <c:crossAx val="100986079"/>
        <c:crosses val="autoZero"/>
        <c:auto val="1"/>
        <c:lblAlgn val="ctr"/>
        <c:lblOffset val="100"/>
        <c:noMultiLvlLbl val="0"/>
      </c:catAx>
      <c:valAx>
        <c:axId val="100986079"/>
        <c:scaling>
          <c:orientation val="minMax"/>
          <c:max val="1"/>
          <c:min val="0.8"/>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ova" panose="020B0504020202020204" pitchFamily="34" charset="0"/>
                <a:ea typeface="+mn-ea"/>
                <a:cs typeface="+mn-cs"/>
              </a:defRPr>
            </a:pPr>
            <a:endParaRPr lang="en-US"/>
          </a:p>
        </c:txPr>
        <c:crossAx val="100983999"/>
        <c:crosses val="autoZero"/>
        <c:crossBetween val="between"/>
        <c:majorUnit val="5.000000000000001E-2"/>
        <c:minorUnit val="5.000000000000001E-3"/>
      </c:valAx>
      <c:spPr>
        <a:noFill/>
        <a:ln>
          <a:noFill/>
        </a:ln>
        <a:effectLst/>
      </c:spPr>
    </c:plotArea>
    <c:legend>
      <c:legendPos val="b"/>
      <c:layout>
        <c:manualLayout>
          <c:xMode val="edge"/>
          <c:yMode val="edge"/>
          <c:x val="0.2728501776043003"/>
          <c:y val="0.87412434068744616"/>
          <c:w val="0.44143498196944936"/>
          <c:h val="8.506396473275672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ova" panose="020B05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Arial Nova" panose="020B0504020202020204" pitchFamily="34" charset="0"/>
                <a:ea typeface="+mn-ea"/>
                <a:cs typeface="+mn-cs"/>
              </a:defRPr>
            </a:pPr>
            <a:r>
              <a:rPr lang="en-GB" sz="1050" b="1" baseline="0">
                <a:solidFill>
                  <a:sysClr val="windowText" lastClr="000000"/>
                </a:solidFill>
                <a:latin typeface="Arial Nova" panose="020B0504020202020204" pitchFamily="34" charset="0"/>
              </a:rPr>
              <a:t>Aseptic Non-Touch Technique    </a:t>
            </a:r>
            <a:endParaRPr lang="en-GB" sz="1050" b="1">
              <a:solidFill>
                <a:sysClr val="windowText" lastClr="000000"/>
              </a:solidFill>
              <a:latin typeface="Arial Nova" panose="020B0504020202020204" pitchFamily="34" charset="0"/>
            </a:endParaRPr>
          </a:p>
        </c:rich>
      </c:tx>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Arial Nova" panose="020B0504020202020204" pitchFamily="34" charset="0"/>
              <a:ea typeface="+mn-ea"/>
              <a:cs typeface="+mn-cs"/>
            </a:defRPr>
          </a:pPr>
          <a:endParaRPr lang="en-US"/>
        </a:p>
      </c:txPr>
    </c:title>
    <c:autoTitleDeleted val="0"/>
    <c:plotArea>
      <c:layout>
        <c:manualLayout>
          <c:layoutTarget val="inner"/>
          <c:xMode val="edge"/>
          <c:yMode val="edge"/>
          <c:x val="9.9472750610957283E-2"/>
          <c:y val="0.17640249514265263"/>
          <c:w val="0.87769856826421133"/>
          <c:h val="0.36546763472747718"/>
        </c:manualLayout>
      </c:layout>
      <c:lineChart>
        <c:grouping val="standard"/>
        <c:varyColors val="0"/>
        <c:ser>
          <c:idx val="21"/>
          <c:order val="21"/>
          <c:tx>
            <c:strRef>
              <c:f>'Data warehouse'!$C$740</c:f>
              <c:strCache>
                <c:ptCount val="1"/>
                <c:pt idx="0">
                  <c:v>AVERAGE</c:v>
                </c:pt>
              </c:strCache>
            </c:strRef>
          </c:tx>
          <c:spPr>
            <a:ln w="28575" cap="rnd">
              <a:solidFill>
                <a:schemeClr val="accent4">
                  <a:lumMod val="80000"/>
                </a:schemeClr>
              </a:solidFill>
              <a:round/>
            </a:ln>
            <a:effectLst/>
          </c:spPr>
          <c:marker>
            <c:symbol val="none"/>
          </c:marker>
          <c:dPt>
            <c:idx val="0"/>
            <c:marker>
              <c:symbol val="none"/>
            </c:marker>
            <c:bubble3D val="0"/>
            <c:spPr>
              <a:ln w="28575" cap="rnd">
                <a:solidFill>
                  <a:schemeClr val="accent4">
                    <a:lumMod val="80000"/>
                  </a:schemeClr>
                </a:solidFill>
                <a:round/>
              </a:ln>
              <a:effectLst/>
            </c:spPr>
            <c:extLst>
              <c:ext xmlns:c16="http://schemas.microsoft.com/office/drawing/2014/chart" uri="{C3380CC4-5D6E-409C-BE32-E72D297353CC}">
                <c16:uniqueId val="{00000001-9EAB-4B06-8D4E-F6031C0843B0}"/>
              </c:ext>
            </c:extLst>
          </c:dPt>
          <c:cat>
            <c:strRef>
              <c:f>'Data warehouse'!$F$716:$O$716</c:f>
              <c:strCache>
                <c:ptCount val="10"/>
                <c:pt idx="0">
                  <c:v>Jun-22</c:v>
                </c:pt>
                <c:pt idx="1">
                  <c:v>Jul-22</c:v>
                </c:pt>
                <c:pt idx="2">
                  <c:v>Aug-22</c:v>
                </c:pt>
                <c:pt idx="3">
                  <c:v>Sep-22</c:v>
                </c:pt>
                <c:pt idx="4">
                  <c:v>Oct-22</c:v>
                </c:pt>
                <c:pt idx="5">
                  <c:v>Nov-22</c:v>
                </c:pt>
                <c:pt idx="6">
                  <c:v>Dec-22</c:v>
                </c:pt>
                <c:pt idx="7">
                  <c:v>Jan-23</c:v>
                </c:pt>
                <c:pt idx="8">
                  <c:v>Feb-23</c:v>
                </c:pt>
                <c:pt idx="9">
                  <c:v>Mar-23</c:v>
                </c:pt>
              </c:strCache>
              <c:extLst/>
            </c:strRef>
          </c:cat>
          <c:val>
            <c:numRef>
              <c:f>'Data warehouse'!$F$740:$O$740</c:f>
              <c:numCache>
                <c:formatCode>0%</c:formatCode>
                <c:ptCount val="10"/>
                <c:pt idx="0">
                  <c:v>0.89786190268192623</c:v>
                </c:pt>
                <c:pt idx="1">
                  <c:v>0.96740049704644504</c:v>
                </c:pt>
                <c:pt idx="2">
                  <c:v>0.97479652031063324</c:v>
                </c:pt>
                <c:pt idx="3">
                  <c:v>0.98110037132562167</c:v>
                </c:pt>
                <c:pt idx="4">
                  <c:v>0.98115738727232982</c:v>
                </c:pt>
                <c:pt idx="5">
                  <c:v>0.98306666666666653</c:v>
                </c:pt>
                <c:pt idx="6">
                  <c:v>0.98359999999999992</c:v>
                </c:pt>
                <c:pt idx="7">
                  <c:v>0.97966666666666669</c:v>
                </c:pt>
                <c:pt idx="8">
                  <c:v>0.95946666666666647</c:v>
                </c:pt>
                <c:pt idx="9">
                  <c:v>0.97340000000000004</c:v>
                </c:pt>
              </c:numCache>
              <c:extLst/>
            </c:numRef>
          </c:val>
          <c:smooth val="0"/>
          <c:extLst>
            <c:ext xmlns:c16="http://schemas.microsoft.com/office/drawing/2014/chart" uri="{C3380CC4-5D6E-409C-BE32-E72D297353CC}">
              <c16:uniqueId val="{00000002-9EAB-4B06-8D4E-F6031C0843B0}"/>
            </c:ext>
          </c:extLst>
        </c:ser>
        <c:ser>
          <c:idx val="0"/>
          <c:order val="0"/>
          <c:tx>
            <c:strRef>
              <c:f>'Data warehouse'!$C$717</c:f>
              <c:strCache>
                <c:ptCount val="1"/>
                <c:pt idx="0">
                  <c:v>Target</c:v>
                </c:pt>
              </c:strCache>
            </c:strRef>
          </c:tx>
          <c:spPr>
            <a:ln w="25400" cap="rnd">
              <a:solidFill>
                <a:srgbClr val="FF0000"/>
              </a:solidFill>
              <a:round/>
            </a:ln>
            <a:effectLst/>
          </c:spPr>
          <c:marker>
            <c:symbol val="none"/>
          </c:marker>
          <c:cat>
            <c:strRef>
              <c:f>'Data warehouse'!$F$716:$O$716</c:f>
              <c:strCache>
                <c:ptCount val="10"/>
                <c:pt idx="0">
                  <c:v>Jun-22</c:v>
                </c:pt>
                <c:pt idx="1">
                  <c:v>Jul-22</c:v>
                </c:pt>
                <c:pt idx="2">
                  <c:v>Aug-22</c:v>
                </c:pt>
                <c:pt idx="3">
                  <c:v>Sep-22</c:v>
                </c:pt>
                <c:pt idx="4">
                  <c:v>Oct-22</c:v>
                </c:pt>
                <c:pt idx="5">
                  <c:v>Nov-22</c:v>
                </c:pt>
                <c:pt idx="6">
                  <c:v>Dec-22</c:v>
                </c:pt>
                <c:pt idx="7">
                  <c:v>Jan-23</c:v>
                </c:pt>
                <c:pt idx="8">
                  <c:v>Feb-23</c:v>
                </c:pt>
                <c:pt idx="9">
                  <c:v>Mar-23</c:v>
                </c:pt>
              </c:strCache>
              <c:extLst/>
            </c:strRef>
          </c:cat>
          <c:val>
            <c:numRef>
              <c:f>'Data warehouse'!$F$717:$O$717</c:f>
              <c:numCache>
                <c:formatCode>0%</c:formatCode>
                <c:ptCount val="10"/>
                <c:pt idx="0">
                  <c:v>0.92</c:v>
                </c:pt>
                <c:pt idx="1">
                  <c:v>0.92</c:v>
                </c:pt>
                <c:pt idx="2">
                  <c:v>0.92</c:v>
                </c:pt>
                <c:pt idx="3">
                  <c:v>0.92</c:v>
                </c:pt>
                <c:pt idx="4">
                  <c:v>0.92</c:v>
                </c:pt>
                <c:pt idx="5">
                  <c:v>0.92</c:v>
                </c:pt>
                <c:pt idx="6">
                  <c:v>0.92</c:v>
                </c:pt>
                <c:pt idx="7">
                  <c:v>0.92</c:v>
                </c:pt>
                <c:pt idx="8">
                  <c:v>0.92</c:v>
                </c:pt>
                <c:pt idx="9">
                  <c:v>0.92</c:v>
                </c:pt>
              </c:numCache>
              <c:extLst/>
            </c:numRef>
          </c:val>
          <c:smooth val="0"/>
          <c:extLst>
            <c:ext xmlns:c16="http://schemas.microsoft.com/office/drawing/2014/chart" uri="{C3380CC4-5D6E-409C-BE32-E72D297353CC}">
              <c16:uniqueId val="{00000003-9EAB-4B06-8D4E-F6031C0843B0}"/>
            </c:ext>
          </c:extLst>
        </c:ser>
        <c:dLbls>
          <c:showLegendKey val="0"/>
          <c:showVal val="0"/>
          <c:showCatName val="0"/>
          <c:showSerName val="0"/>
          <c:showPercent val="0"/>
          <c:showBubbleSize val="0"/>
        </c:dLbls>
        <c:smooth val="0"/>
        <c:axId val="538082928"/>
        <c:axId val="538075440"/>
        <c:extLst>
          <c:ext xmlns:c15="http://schemas.microsoft.com/office/drawing/2012/chart" uri="{02D57815-91ED-43cb-92C2-25804820EDAC}">
            <c15:filteredLineSeries>
              <c15:ser>
                <c:idx val="1"/>
                <c:order val="1"/>
                <c:tx>
                  <c:strRef>
                    <c:extLst>
                      <c:ext uri="{02D57815-91ED-43cb-92C2-25804820EDAC}">
                        <c15:formulaRef>
                          <c15:sqref>'Data warehouse'!$C$718</c15:sqref>
                        </c15:formulaRef>
                      </c:ext>
                    </c:extLst>
                    <c:strCache>
                      <c:ptCount val="1"/>
                      <c:pt idx="0">
                        <c:v> Orthotics</c:v>
                      </c:pt>
                    </c:strCache>
                  </c:strRef>
                </c:tx>
                <c:spPr>
                  <a:ln w="28575" cap="rnd">
                    <a:solidFill>
                      <a:schemeClr val="accent2"/>
                    </a:solidFill>
                    <a:round/>
                  </a:ln>
                  <a:effectLst/>
                </c:spPr>
                <c:marker>
                  <c:symbol val="none"/>
                </c:marker>
                <c:cat>
                  <c:strRef>
                    <c:extLst>
                      <c:ext uri="{02D57815-91ED-43cb-92C2-25804820EDAC}">
                        <c15:formulaRef>
                          <c15:sqref>'Data warehouse'!$F$716:$O$716</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c:ext uri="{02D57815-91ED-43cb-92C2-25804820EDAC}">
                        <c15:formulaRef>
                          <c15:sqref>'Data warehouse'!$F$718:$O$718</c15:sqref>
                        </c15:formulaRef>
                      </c:ext>
                    </c:extLst>
                    <c:numCache>
                      <c:formatCode>0%</c:formatCode>
                      <c:ptCount val="10"/>
                      <c:pt idx="0">
                        <c:v>0</c:v>
                      </c:pt>
                      <c:pt idx="1">
                        <c:v>0</c:v>
                      </c:pt>
                      <c:pt idx="2">
                        <c:v>0</c:v>
                      </c:pt>
                      <c:pt idx="3">
                        <c:v>0</c:v>
                      </c:pt>
                      <c:pt idx="4">
                        <c:v>1</c:v>
                      </c:pt>
                      <c:pt idx="5">
                        <c:v>0</c:v>
                      </c:pt>
                    </c:numCache>
                  </c:numRef>
                </c:val>
                <c:smooth val="0"/>
                <c:extLst>
                  <c:ext xmlns:c16="http://schemas.microsoft.com/office/drawing/2014/chart" uri="{C3380CC4-5D6E-409C-BE32-E72D297353CC}">
                    <c16:uniqueId val="{00000004-9EAB-4B06-8D4E-F6031C0843B0}"/>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'Data warehouse'!$C$720</c15:sqref>
                        </c15:formulaRef>
                      </c:ext>
                    </c:extLst>
                    <c:strCache>
                      <c:ptCount val="1"/>
                      <c:pt idx="0">
                        <c:v> Pharmacy</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warehouse'!$F$716:$O$716</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warehouse'!$F$720:$O$720</c15:sqref>
                        </c15:formulaRef>
                      </c:ext>
                    </c:extLst>
                    <c:numCache>
                      <c:formatCode>0%</c:formatCode>
                      <c:ptCount val="10"/>
                      <c:pt idx="0">
                        <c:v>0</c:v>
                      </c:pt>
                      <c:pt idx="1">
                        <c:v>0</c:v>
                      </c:pt>
                      <c:pt idx="2">
                        <c:v>0</c:v>
                      </c:pt>
                      <c:pt idx="3">
                        <c:v>0</c:v>
                      </c:pt>
                      <c:pt idx="4">
                        <c:v>1</c:v>
                      </c:pt>
                      <c:pt idx="5">
                        <c:v>0</c:v>
                      </c:pt>
                    </c:numCache>
                  </c:numRef>
                </c:val>
                <c:smooth val="0"/>
                <c:extLst xmlns:c15="http://schemas.microsoft.com/office/drawing/2012/chart">
                  <c:ext xmlns:c16="http://schemas.microsoft.com/office/drawing/2014/chart" uri="{C3380CC4-5D6E-409C-BE32-E72D297353CC}">
                    <c16:uniqueId val="{00000005-9EAB-4B06-8D4E-F6031C0843B0}"/>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'Data warehouse'!$C$721</c15:sqref>
                        </c15:formulaRef>
                      </c:ext>
                    </c:extLst>
                    <c:strCache>
                      <c:ptCount val="1"/>
                      <c:pt idx="0">
                        <c:v> Radiology </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warehouse'!$F$716:$O$716</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warehouse'!$F$721:$O$721</c15:sqref>
                        </c15:formulaRef>
                      </c:ext>
                    </c:extLst>
                    <c:numCache>
                      <c:formatCode>0%</c:formatCode>
                      <c:ptCount val="10"/>
                      <c:pt idx="0">
                        <c:v>0</c:v>
                      </c:pt>
                      <c:pt idx="1">
                        <c:v>0</c:v>
                      </c:pt>
                      <c:pt idx="2">
                        <c:v>0</c:v>
                      </c:pt>
                      <c:pt idx="3">
                        <c:v>0</c:v>
                      </c:pt>
                      <c:pt idx="4">
                        <c:v>1</c:v>
                      </c:pt>
                      <c:pt idx="5">
                        <c:v>0</c:v>
                      </c:pt>
                    </c:numCache>
                  </c:numRef>
                </c:val>
                <c:smooth val="0"/>
                <c:extLst xmlns:c15="http://schemas.microsoft.com/office/drawing/2012/chart">
                  <c:ext xmlns:c16="http://schemas.microsoft.com/office/drawing/2014/chart" uri="{C3380CC4-5D6E-409C-BE32-E72D297353CC}">
                    <c16:uniqueId val="{00000006-9EAB-4B06-8D4E-F6031C0843B0}"/>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'Data warehouse'!$C$722</c15:sqref>
                        </c15:formulaRef>
                      </c:ext>
                    </c:extLst>
                    <c:strCache>
                      <c:ptCount val="1"/>
                      <c:pt idx="0">
                        <c:v> Therapies</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warehouse'!$F$716:$O$716</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warehouse'!$F$722:$O$722</c15:sqref>
                        </c15:formulaRef>
                      </c:ext>
                    </c:extLst>
                    <c:numCache>
                      <c:formatCode>0%</c:formatCode>
                      <c:ptCount val="10"/>
                      <c:pt idx="0">
                        <c:v>0.5</c:v>
                      </c:pt>
                      <c:pt idx="1">
                        <c:v>0</c:v>
                      </c:pt>
                      <c:pt idx="2">
                        <c:v>1</c:v>
                      </c:pt>
                      <c:pt idx="3">
                        <c:v>1</c:v>
                      </c:pt>
                      <c:pt idx="4">
                        <c:v>0.96</c:v>
                      </c:pt>
                      <c:pt idx="5">
                        <c:v>0</c:v>
                      </c:pt>
                    </c:numCache>
                  </c:numRef>
                </c:val>
                <c:smooth val="0"/>
                <c:extLst xmlns:c15="http://schemas.microsoft.com/office/drawing/2012/chart">
                  <c:ext xmlns:c16="http://schemas.microsoft.com/office/drawing/2014/chart" uri="{C3380CC4-5D6E-409C-BE32-E72D297353CC}">
                    <c16:uniqueId val="{00000007-9EAB-4B06-8D4E-F6031C0843B0}"/>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'Data warehouse'!$C$723</c15:sqref>
                        </c15:formulaRef>
                      </c:ext>
                    </c:extLst>
                    <c:strCache>
                      <c:ptCount val="1"/>
                      <c:pt idx="0">
                        <c:v> Baschurch Day Unit</c:v>
                      </c:pt>
                    </c:strCache>
                  </c:strRef>
                </c:tx>
                <c:spPr>
                  <a:ln w="28575"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warehouse'!$F$716:$O$716</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warehouse'!$F$723:$O$723</c15:sqref>
                        </c15:formulaRef>
                      </c:ext>
                    </c:extLst>
                    <c:numCache>
                      <c:formatCode>0%</c:formatCode>
                      <c:ptCount val="10"/>
                      <c:pt idx="0">
                        <c:v>1</c:v>
                      </c:pt>
                      <c:pt idx="1">
                        <c:v>1</c:v>
                      </c:pt>
                      <c:pt idx="2">
                        <c:v>1</c:v>
                      </c:pt>
                      <c:pt idx="3">
                        <c:v>1</c:v>
                      </c:pt>
                      <c:pt idx="4">
                        <c:v>1</c:v>
                      </c:pt>
                      <c:pt idx="5">
                        <c:v>1</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08-9EAB-4B06-8D4E-F6031C0843B0}"/>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'Data warehouse'!$C$724</c15:sqref>
                        </c15:formulaRef>
                      </c:ext>
                    </c:extLst>
                    <c:strCache>
                      <c:ptCount val="1"/>
                      <c:pt idx="0">
                        <c:v> Clwyd Ward</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warehouse'!$F$716:$O$716</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warehouse'!$F$724:$O$724</c15:sqref>
                        </c15:formulaRef>
                      </c:ext>
                    </c:extLst>
                    <c:numCache>
                      <c:formatCode>0%</c:formatCode>
                      <c:ptCount val="10"/>
                      <c:pt idx="0">
                        <c:v>0.96153846153846156</c:v>
                      </c:pt>
                      <c:pt idx="1">
                        <c:v>1</c:v>
                      </c:pt>
                      <c:pt idx="2">
                        <c:v>1</c:v>
                      </c:pt>
                      <c:pt idx="3">
                        <c:v>1</c:v>
                      </c:pt>
                      <c:pt idx="4">
                        <c:v>1</c:v>
                      </c:pt>
                      <c:pt idx="5">
                        <c:v>1</c:v>
                      </c:pt>
                      <c:pt idx="6">
                        <c:v>1</c:v>
                      </c:pt>
                      <c:pt idx="7">
                        <c:v>0.95699999999999996</c:v>
                      </c:pt>
                      <c:pt idx="8">
                        <c:v>0.91700000000000004</c:v>
                      </c:pt>
                      <c:pt idx="9">
                        <c:v>0.91700000000000004</c:v>
                      </c:pt>
                    </c:numCache>
                  </c:numRef>
                </c:val>
                <c:smooth val="0"/>
                <c:extLst xmlns:c15="http://schemas.microsoft.com/office/drawing/2012/chart">
                  <c:ext xmlns:c16="http://schemas.microsoft.com/office/drawing/2014/chart" uri="{C3380CC4-5D6E-409C-BE32-E72D297353CC}">
                    <c16:uniqueId val="{00000009-9EAB-4B06-8D4E-F6031C0843B0}"/>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'Data warehouse'!$C$725</c15:sqref>
                        </c15:formulaRef>
                      </c:ext>
                    </c:extLst>
                    <c:strCache>
                      <c:ptCount val="1"/>
                      <c:pt idx="0">
                        <c:v> HDU</c:v>
                      </c:pt>
                    </c:strCache>
                  </c:strRef>
                </c:tx>
                <c:spPr>
                  <a:ln w="28575" cap="rnd">
                    <a:solidFill>
                      <a:schemeClr val="accent2">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warehouse'!$F$716:$O$716</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warehouse'!$F$725:$O$725</c15:sqref>
                        </c15:formulaRef>
                      </c:ext>
                    </c:extLst>
                    <c:numCache>
                      <c:formatCode>0%</c:formatCode>
                      <c:ptCount val="10"/>
                      <c:pt idx="0">
                        <c:v>1</c:v>
                      </c:pt>
                      <c:pt idx="1">
                        <c:v>1</c:v>
                      </c:pt>
                      <c:pt idx="2">
                        <c:v>1</c:v>
                      </c:pt>
                      <c:pt idx="3">
                        <c:v>1</c:v>
                      </c:pt>
                      <c:pt idx="4">
                        <c:v>0</c:v>
                      </c:pt>
                      <c:pt idx="5">
                        <c:v>1</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0A-9EAB-4B06-8D4E-F6031C0843B0}"/>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'Data warehouse'!$C$726</c15:sqref>
                        </c15:formulaRef>
                      </c:ext>
                    </c:extLst>
                    <c:strCache>
                      <c:ptCount val="1"/>
                      <c:pt idx="0">
                        <c:v> Kenyon Ward</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warehouse'!$F$716:$O$716</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warehouse'!$F$726:$O$726</c15:sqref>
                        </c15:formulaRef>
                      </c:ext>
                    </c:extLst>
                    <c:numCache>
                      <c:formatCode>0%</c:formatCode>
                      <c:ptCount val="10"/>
                      <c:pt idx="0">
                        <c:v>1</c:v>
                      </c:pt>
                      <c:pt idx="1">
                        <c:v>1</c:v>
                      </c:pt>
                      <c:pt idx="2">
                        <c:v>1</c:v>
                      </c:pt>
                      <c:pt idx="3">
                        <c:v>1</c:v>
                      </c:pt>
                      <c:pt idx="4">
                        <c:v>0.96296296296296291</c:v>
                      </c:pt>
                      <c:pt idx="5">
                        <c:v>1</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0B-9EAB-4B06-8D4E-F6031C0843B0}"/>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'Data warehouse'!$C$727</c15:sqref>
                        </c15:formulaRef>
                      </c:ext>
                    </c:extLst>
                    <c:strCache>
                      <c:ptCount val="1"/>
                      <c:pt idx="0">
                        <c:v> Ludlow Ward</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warehouse'!$F$716:$O$716</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warehouse'!$F$727:$O$727</c15:sqref>
                        </c15:formulaRef>
                      </c:ext>
                    </c:extLst>
                    <c:numCache>
                      <c:formatCode>0%</c:formatCode>
                      <c:ptCount val="10"/>
                      <c:pt idx="0">
                        <c:v>0.88</c:v>
                      </c:pt>
                      <c:pt idx="1">
                        <c:v>0.91666666666666663</c:v>
                      </c:pt>
                      <c:pt idx="2">
                        <c:v>0.91666666666666663</c:v>
                      </c:pt>
                      <c:pt idx="3">
                        <c:v>1</c:v>
                      </c:pt>
                      <c:pt idx="4">
                        <c:v>0</c:v>
                      </c:pt>
                      <c:pt idx="5">
                        <c:v>1</c:v>
                      </c:pt>
                      <c:pt idx="6">
                        <c:v>1</c:v>
                      </c:pt>
                      <c:pt idx="7">
                        <c:v>1</c:v>
                      </c:pt>
                      <c:pt idx="8">
                        <c:v>0.96299999999999997</c:v>
                      </c:pt>
                    </c:numCache>
                  </c:numRef>
                </c:val>
                <c:smooth val="0"/>
                <c:extLst xmlns:c15="http://schemas.microsoft.com/office/drawing/2012/chart">
                  <c:ext xmlns:c16="http://schemas.microsoft.com/office/drawing/2014/chart" uri="{C3380CC4-5D6E-409C-BE32-E72D297353CC}">
                    <c16:uniqueId val="{0000000C-9EAB-4B06-8D4E-F6031C0843B0}"/>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'Data warehouse'!$C$728</c15:sqref>
                        </c15:formulaRef>
                      </c:ext>
                    </c:extLst>
                    <c:strCache>
                      <c:ptCount val="1"/>
                      <c:pt idx="0">
                        <c:v> Powys Ward</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warehouse'!$F$716:$O$716</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warehouse'!$F$728:$O$728</c15:sqref>
                        </c15:formulaRef>
                      </c:ext>
                    </c:extLst>
                    <c:numCache>
                      <c:formatCode>0%</c:formatCode>
                      <c:ptCount val="10"/>
                      <c:pt idx="0">
                        <c:v>1</c:v>
                      </c:pt>
                      <c:pt idx="1">
                        <c:v>1</c:v>
                      </c:pt>
                      <c:pt idx="2">
                        <c:v>1</c:v>
                      </c:pt>
                      <c:pt idx="3">
                        <c:v>1</c:v>
                      </c:pt>
                      <c:pt idx="4">
                        <c:v>0</c:v>
                      </c:pt>
                      <c:pt idx="5">
                        <c:v>0.95799999999999996</c:v>
                      </c:pt>
                      <c:pt idx="6">
                        <c:v>1</c:v>
                      </c:pt>
                      <c:pt idx="7">
                        <c:v>1</c:v>
                      </c:pt>
                      <c:pt idx="8">
                        <c:v>0.95799999999999996</c:v>
                      </c:pt>
                    </c:numCache>
                  </c:numRef>
                </c:val>
                <c:smooth val="0"/>
                <c:extLst xmlns:c15="http://schemas.microsoft.com/office/drawing/2012/chart">
                  <c:ext xmlns:c16="http://schemas.microsoft.com/office/drawing/2014/chart" uri="{C3380CC4-5D6E-409C-BE32-E72D297353CC}">
                    <c16:uniqueId val="{0000000D-9EAB-4B06-8D4E-F6031C0843B0}"/>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'Data warehouse'!$C$730</c15:sqref>
                        </c15:formulaRef>
                      </c:ext>
                    </c:extLst>
                    <c:strCache>
                      <c:ptCount val="1"/>
                      <c:pt idx="0">
                        <c:v> Recovery</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warehouse'!$F$716:$O$716</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warehouse'!$F$730:$O$730</c15:sqref>
                        </c15:formulaRef>
                      </c:ext>
                    </c:extLst>
                    <c:numCache>
                      <c:formatCode>0%</c:formatCode>
                      <c:ptCount val="10"/>
                      <c:pt idx="0">
                        <c:v>0.88461538461538458</c:v>
                      </c:pt>
                      <c:pt idx="1">
                        <c:v>1</c:v>
                      </c:pt>
                      <c:pt idx="2">
                        <c:v>1</c:v>
                      </c:pt>
                      <c:pt idx="3">
                        <c:v>1</c:v>
                      </c:pt>
                      <c:pt idx="4">
                        <c:v>0.94444444444444442</c:v>
                      </c:pt>
                      <c:pt idx="5">
                        <c:v>0.96599999999999997</c:v>
                      </c:pt>
                      <c:pt idx="6">
                        <c:v>1</c:v>
                      </c:pt>
                      <c:pt idx="7">
                        <c:v>1</c:v>
                      </c:pt>
                      <c:pt idx="8">
                        <c:v>1</c:v>
                      </c:pt>
                    </c:numCache>
                  </c:numRef>
                </c:val>
                <c:smooth val="0"/>
                <c:extLst xmlns:c15="http://schemas.microsoft.com/office/drawing/2012/chart">
                  <c:ext xmlns:c16="http://schemas.microsoft.com/office/drawing/2014/chart" uri="{C3380CC4-5D6E-409C-BE32-E72D297353CC}">
                    <c16:uniqueId val="{0000000E-9EAB-4B06-8D4E-F6031C0843B0}"/>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'Data warehouse'!$C$731</c15:sqref>
                        </c15:formulaRef>
                      </c:ext>
                    </c:extLst>
                    <c:strCache>
                      <c:ptCount val="1"/>
                      <c:pt idx="0">
                        <c:v> Theatres and Anaesthetics</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warehouse'!$F$716:$O$716</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warehouse'!$F$731:$O$731</c15:sqref>
                        </c15:formulaRef>
                      </c:ext>
                    </c:extLst>
                    <c:numCache>
                      <c:formatCode>0%</c:formatCode>
                      <c:ptCount val="10"/>
                      <c:pt idx="0">
                        <c:v>0</c:v>
                      </c:pt>
                      <c:pt idx="1">
                        <c:v>0</c:v>
                      </c:pt>
                      <c:pt idx="2">
                        <c:v>0</c:v>
                      </c:pt>
                      <c:pt idx="3">
                        <c:v>0</c:v>
                      </c:pt>
                      <c:pt idx="4">
                        <c:v>0.91891891891891897</c:v>
                      </c:pt>
                      <c:pt idx="5">
                        <c:v>0</c:v>
                      </c:pt>
                    </c:numCache>
                  </c:numRef>
                </c:val>
                <c:smooth val="0"/>
                <c:extLst xmlns:c15="http://schemas.microsoft.com/office/drawing/2012/chart">
                  <c:ext xmlns:c16="http://schemas.microsoft.com/office/drawing/2014/chart" uri="{C3380CC4-5D6E-409C-BE32-E72D297353CC}">
                    <c16:uniqueId val="{0000000F-9EAB-4B06-8D4E-F6031C0843B0}"/>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'Data warehouse'!$C$732</c15:sqref>
                        </c15:formulaRef>
                      </c:ext>
                    </c:extLst>
                    <c:strCache>
                      <c:ptCount val="1"/>
                      <c:pt idx="0">
                        <c:v> TSSU</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warehouse'!$F$716:$O$716</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warehouse'!$F$732:$O$732</c15:sqref>
                        </c15:formulaRef>
                      </c:ext>
                    </c:extLst>
                    <c:numCache>
                      <c:formatCode>0%</c:formatCode>
                      <c:ptCount val="10"/>
                      <c:pt idx="0">
                        <c:v>0</c:v>
                      </c:pt>
                      <c:pt idx="1">
                        <c:v>0</c:v>
                      </c:pt>
                      <c:pt idx="2">
                        <c:v>0</c:v>
                      </c:pt>
                      <c:pt idx="3">
                        <c:v>0</c:v>
                      </c:pt>
                      <c:pt idx="4">
                        <c:v>1</c:v>
                      </c:pt>
                      <c:pt idx="5">
                        <c:v>0</c:v>
                      </c:pt>
                    </c:numCache>
                  </c:numRef>
                </c:val>
                <c:smooth val="0"/>
                <c:extLst xmlns:c15="http://schemas.microsoft.com/office/drawing/2012/chart">
                  <c:ext xmlns:c16="http://schemas.microsoft.com/office/drawing/2014/chart" uri="{C3380CC4-5D6E-409C-BE32-E72D297353CC}">
                    <c16:uniqueId val="{00000010-9EAB-4B06-8D4E-F6031C0843B0}"/>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'Data warehouse'!$C$733</c15:sqref>
                        </c15:formulaRef>
                      </c:ext>
                    </c:extLst>
                    <c:strCache>
                      <c:ptCount val="1"/>
                      <c:pt idx="0">
                        <c:v> Alice Ward</c:v>
                      </c:pt>
                    </c:strCache>
                  </c:strRef>
                </c:tx>
                <c:spPr>
                  <a:ln w="28575" cap="rnd">
                    <a:solidFill>
                      <a:schemeClr val="accent3">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warehouse'!$F$716:$O$716</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warehouse'!$F$733:$O$733</c15:sqref>
                        </c15:formulaRef>
                      </c:ext>
                    </c:extLst>
                    <c:numCache>
                      <c:formatCode>0%</c:formatCode>
                      <c:ptCount val="10"/>
                      <c:pt idx="0">
                        <c:v>1</c:v>
                      </c:pt>
                      <c:pt idx="1">
                        <c:v>1</c:v>
                      </c:pt>
                      <c:pt idx="2">
                        <c:v>1</c:v>
                      </c:pt>
                      <c:pt idx="3">
                        <c:v>1</c:v>
                      </c:pt>
                      <c:pt idx="4">
                        <c:v>0</c:v>
                      </c:pt>
                      <c:pt idx="5">
                        <c:v>1</c:v>
                      </c:pt>
                      <c:pt idx="6">
                        <c:v>1</c:v>
                      </c:pt>
                      <c:pt idx="7">
                        <c:v>0.96199999999999997</c:v>
                      </c:pt>
                      <c:pt idx="8">
                        <c:v>1</c:v>
                      </c:pt>
                    </c:numCache>
                  </c:numRef>
                </c:val>
                <c:smooth val="0"/>
                <c:extLst xmlns:c15="http://schemas.microsoft.com/office/drawing/2012/chart">
                  <c:ext xmlns:c16="http://schemas.microsoft.com/office/drawing/2014/chart" uri="{C3380CC4-5D6E-409C-BE32-E72D297353CC}">
                    <c16:uniqueId val="{00000011-9EAB-4B06-8D4E-F6031C0843B0}"/>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'Data warehouse'!$C$734</c15:sqref>
                        </c15:formulaRef>
                      </c:ext>
                    </c:extLst>
                    <c:strCache>
                      <c:ptCount val="1"/>
                      <c:pt idx="0">
                        <c:v> Gladstone Ward</c:v>
                      </c:pt>
                    </c:strCache>
                  </c:strRef>
                </c:tx>
                <c:spPr>
                  <a:ln w="28575" cap="rnd">
                    <a:solidFill>
                      <a:schemeClr val="accent4">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warehouse'!$F$716:$O$716</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warehouse'!$F$734:$O$734</c15:sqref>
                        </c15:formulaRef>
                      </c:ext>
                    </c:extLst>
                    <c:numCache>
                      <c:formatCode>0%</c:formatCode>
                      <c:ptCount val="10"/>
                      <c:pt idx="0">
                        <c:v>0.85365853658536583</c:v>
                      </c:pt>
                      <c:pt idx="1">
                        <c:v>0.92682926829268297</c:v>
                      </c:pt>
                      <c:pt idx="2">
                        <c:v>0.92500000000000004</c:v>
                      </c:pt>
                      <c:pt idx="3">
                        <c:v>0.92307692307692313</c:v>
                      </c:pt>
                      <c:pt idx="4">
                        <c:v>0</c:v>
                      </c:pt>
                      <c:pt idx="5">
                        <c:v>0.94699999999999995</c:v>
                      </c:pt>
                      <c:pt idx="6">
                        <c:v>0.879</c:v>
                      </c:pt>
                      <c:pt idx="7">
                        <c:v>0.91900000000000004</c:v>
                      </c:pt>
                      <c:pt idx="8">
                        <c:v>0.85</c:v>
                      </c:pt>
                    </c:numCache>
                  </c:numRef>
                </c:val>
                <c:smooth val="0"/>
                <c:extLst xmlns:c15="http://schemas.microsoft.com/office/drawing/2012/chart">
                  <c:ext xmlns:c16="http://schemas.microsoft.com/office/drawing/2014/chart" uri="{C3380CC4-5D6E-409C-BE32-E72D297353CC}">
                    <c16:uniqueId val="{00000012-9EAB-4B06-8D4E-F6031C0843B0}"/>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'Data warehouse'!$C$735</c15:sqref>
                        </c15:formulaRef>
                      </c:ext>
                    </c:extLst>
                    <c:strCache>
                      <c:ptCount val="1"/>
                      <c:pt idx="0">
                        <c:v> Montgomery</c:v>
                      </c:pt>
                    </c:strCache>
                  </c:strRef>
                </c:tx>
                <c:spPr>
                  <a:ln w="28575" cap="rnd">
                    <a:solidFill>
                      <a:schemeClr val="accent5">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warehouse'!$F$716:$O$716</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warehouse'!$F$735:$O$735</c15:sqref>
                        </c15:formulaRef>
                      </c:ext>
                    </c:extLst>
                    <c:numCache>
                      <c:formatCode>0%</c:formatCode>
                      <c:ptCount val="10"/>
                      <c:pt idx="0">
                        <c:v>1</c:v>
                      </c:pt>
                      <c:pt idx="1">
                        <c:v>1</c:v>
                      </c:pt>
                      <c:pt idx="2">
                        <c:v>1</c:v>
                      </c:pt>
                      <c:pt idx="3">
                        <c:v>1</c:v>
                      </c:pt>
                      <c:pt idx="4">
                        <c:v>1</c:v>
                      </c:pt>
                      <c:pt idx="5">
                        <c:v>0.875</c:v>
                      </c:pt>
                      <c:pt idx="6">
                        <c:v>0.875</c:v>
                      </c:pt>
                      <c:pt idx="7">
                        <c:v>0.88900000000000001</c:v>
                      </c:pt>
                      <c:pt idx="8">
                        <c:v>0.88900000000000001</c:v>
                      </c:pt>
                    </c:numCache>
                  </c:numRef>
                </c:val>
                <c:smooth val="0"/>
                <c:extLst xmlns:c15="http://schemas.microsoft.com/office/drawing/2012/chart">
                  <c:ext xmlns:c16="http://schemas.microsoft.com/office/drawing/2014/chart" uri="{C3380CC4-5D6E-409C-BE32-E72D297353CC}">
                    <c16:uniqueId val="{00000013-9EAB-4B06-8D4E-F6031C0843B0}"/>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'Data warehouse'!$C$736</c15:sqref>
                        </c15:formulaRef>
                      </c:ext>
                    </c:extLst>
                    <c:strCache>
                      <c:ptCount val="1"/>
                      <c:pt idx="0">
                        <c:v> ORLAU</c:v>
                      </c:pt>
                    </c:strCache>
                  </c:strRef>
                </c:tx>
                <c:spPr>
                  <a:ln w="28575" cap="rnd">
                    <a:solidFill>
                      <a:schemeClr val="accent6">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warehouse'!$F$716:$O$716</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warehouse'!$F$736:$O$736</c15:sqref>
                        </c15:formulaRef>
                      </c:ext>
                    </c:extLst>
                    <c:numCache>
                      <c:formatCode>0%</c:formatCode>
                      <c:ptCount val="10"/>
                      <c:pt idx="0">
                        <c:v>0</c:v>
                      </c:pt>
                      <c:pt idx="1">
                        <c:v>0</c:v>
                      </c:pt>
                      <c:pt idx="2">
                        <c:v>0</c:v>
                      </c:pt>
                      <c:pt idx="3">
                        <c:v>0</c:v>
                      </c:pt>
                      <c:pt idx="4">
                        <c:v>1</c:v>
                      </c:pt>
                      <c:pt idx="5">
                        <c:v>0</c:v>
                      </c:pt>
                    </c:numCache>
                  </c:numRef>
                </c:val>
                <c:smooth val="0"/>
                <c:extLst xmlns:c15="http://schemas.microsoft.com/office/drawing/2012/chart">
                  <c:ext xmlns:c16="http://schemas.microsoft.com/office/drawing/2014/chart" uri="{C3380CC4-5D6E-409C-BE32-E72D297353CC}">
                    <c16:uniqueId val="{00000014-9EAB-4B06-8D4E-F6031C0843B0}"/>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'Data warehouse'!$C$737</c15:sqref>
                        </c15:formulaRef>
                      </c:ext>
                    </c:extLst>
                    <c:strCache>
                      <c:ptCount val="1"/>
                      <c:pt idx="0">
                        <c:v> Oswald Ward</c:v>
                      </c:pt>
                    </c:strCache>
                  </c:strRef>
                </c:tx>
                <c:spPr>
                  <a:ln w="28575" cap="rnd">
                    <a:solidFill>
                      <a:schemeClr val="accent1">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warehouse'!$F$716:$O$716</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warehouse'!$F$737:$O$737</c15:sqref>
                        </c15:formulaRef>
                      </c:ext>
                    </c:extLst>
                    <c:numCache>
                      <c:formatCode>0%</c:formatCode>
                      <c:ptCount val="10"/>
                      <c:pt idx="0">
                        <c:v>0.94444444444444442</c:v>
                      </c:pt>
                      <c:pt idx="1">
                        <c:v>1</c:v>
                      </c:pt>
                      <c:pt idx="2">
                        <c:v>1</c:v>
                      </c:pt>
                      <c:pt idx="3">
                        <c:v>1</c:v>
                      </c:pt>
                      <c:pt idx="4">
                        <c:v>0</c:v>
                      </c:pt>
                      <c:pt idx="5">
                        <c:v>1</c:v>
                      </c:pt>
                      <c:pt idx="6">
                        <c:v>1</c:v>
                      </c:pt>
                      <c:pt idx="7">
                        <c:v>1</c:v>
                      </c:pt>
                      <c:pt idx="8">
                        <c:v>1</c:v>
                      </c:pt>
                    </c:numCache>
                  </c:numRef>
                </c:val>
                <c:smooth val="0"/>
                <c:extLst xmlns:c15="http://schemas.microsoft.com/office/drawing/2012/chart">
                  <c:ext xmlns:c16="http://schemas.microsoft.com/office/drawing/2014/chart" uri="{C3380CC4-5D6E-409C-BE32-E72D297353CC}">
                    <c16:uniqueId val="{00000015-9EAB-4B06-8D4E-F6031C0843B0}"/>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'Data warehouse'!$C$738</c15:sqref>
                        </c15:formulaRef>
                      </c:ext>
                    </c:extLst>
                    <c:strCache>
                      <c:ptCount val="1"/>
                      <c:pt idx="0">
                        <c:v> Sheldon Ward</c:v>
                      </c:pt>
                    </c:strCache>
                  </c:strRef>
                </c:tx>
                <c:spPr>
                  <a:ln w="28575" cap="rnd">
                    <a:solidFill>
                      <a:schemeClr val="accent2">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warehouse'!$F$716:$O$716</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warehouse'!$F$738:$O$738</c15:sqref>
                        </c15:formulaRef>
                      </c:ext>
                    </c:extLst>
                    <c:numCache>
                      <c:formatCode>0%</c:formatCode>
                      <c:ptCount val="10"/>
                      <c:pt idx="0">
                        <c:v>0.77419354838709675</c:v>
                      </c:pt>
                      <c:pt idx="1">
                        <c:v>0.90322580645161288</c:v>
                      </c:pt>
                      <c:pt idx="2">
                        <c:v>0.90322580645161288</c:v>
                      </c:pt>
                      <c:pt idx="3">
                        <c:v>0.967741935483871</c:v>
                      </c:pt>
                      <c:pt idx="4">
                        <c:v>1</c:v>
                      </c:pt>
                      <c:pt idx="5">
                        <c:v>1</c:v>
                      </c:pt>
                      <c:pt idx="6">
                        <c:v>1</c:v>
                      </c:pt>
                      <c:pt idx="7">
                        <c:v>0.96799999999999997</c:v>
                      </c:pt>
                      <c:pt idx="8">
                        <c:v>0.85699999999999998</c:v>
                      </c:pt>
                    </c:numCache>
                  </c:numRef>
                </c:val>
                <c:smooth val="0"/>
                <c:extLst xmlns:c15="http://schemas.microsoft.com/office/drawing/2012/chart">
                  <c:ext xmlns:c16="http://schemas.microsoft.com/office/drawing/2014/chart" uri="{C3380CC4-5D6E-409C-BE32-E72D297353CC}">
                    <c16:uniqueId val="{00000016-9EAB-4B06-8D4E-F6031C0843B0}"/>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'Data warehouse'!$C$739</c15:sqref>
                        </c15:formulaRef>
                      </c:ext>
                    </c:extLst>
                    <c:strCache>
                      <c:ptCount val="1"/>
                      <c:pt idx="0">
                        <c:v> Wrekin Ward</c:v>
                      </c:pt>
                    </c:strCache>
                  </c:strRef>
                </c:tx>
                <c:spPr>
                  <a:ln w="28575" cap="rnd">
                    <a:solidFill>
                      <a:schemeClr val="accent3">
                        <a:lumMod val="8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2400" b="0" i="0" u="none" strike="noStrike" kern="1200" baseline="0">
                          <a:solidFill>
                            <a:schemeClr val="bg1"/>
                          </a:solidFill>
                          <a:latin typeface="Arial Nova"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'Data warehouse'!$F$716:$O$716</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warehouse'!$F$739:$O$739</c15:sqref>
                        </c15:formulaRef>
                      </c:ext>
                    </c:extLst>
                    <c:numCache>
                      <c:formatCode>0%</c:formatCode>
                      <c:ptCount val="10"/>
                      <c:pt idx="0">
                        <c:v>0.92592592592592593</c:v>
                      </c:pt>
                      <c:pt idx="1">
                        <c:v>0.9642857142857143</c:v>
                      </c:pt>
                      <c:pt idx="2">
                        <c:v>0.96296296296296291</c:v>
                      </c:pt>
                      <c:pt idx="3">
                        <c:v>0.96551724137931039</c:v>
                      </c:pt>
                      <c:pt idx="4">
                        <c:v>0.93103448275862066</c:v>
                      </c:pt>
                      <c:pt idx="5">
                        <c:v>1</c:v>
                      </c:pt>
                      <c:pt idx="6">
                        <c:v>1</c:v>
                      </c:pt>
                      <c:pt idx="7">
                        <c:v>1</c:v>
                      </c:pt>
                      <c:pt idx="8">
                        <c:v>1</c:v>
                      </c:pt>
                    </c:numCache>
                  </c:numRef>
                </c:val>
                <c:smooth val="0"/>
                <c:extLst xmlns:c15="http://schemas.microsoft.com/office/drawing/2012/chart">
                  <c:ext xmlns:c16="http://schemas.microsoft.com/office/drawing/2014/chart" uri="{C3380CC4-5D6E-409C-BE32-E72D297353CC}">
                    <c16:uniqueId val="{00000017-9EAB-4B06-8D4E-F6031C0843B0}"/>
                  </c:ext>
                </c:extLst>
              </c15:ser>
            </c15:filteredLineSeries>
          </c:ext>
        </c:extLst>
      </c:lineChart>
      <c:catAx>
        <c:axId val="538082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538075440"/>
        <c:crosses val="autoZero"/>
        <c:auto val="1"/>
        <c:lblAlgn val="ctr"/>
        <c:lblOffset val="100"/>
        <c:noMultiLvlLbl val="0"/>
      </c:catAx>
      <c:valAx>
        <c:axId val="538075440"/>
        <c:scaling>
          <c:orientation val="minMax"/>
          <c:max val="1"/>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538082928"/>
        <c:crosses val="autoZero"/>
        <c:crossBetween val="between"/>
        <c:majorUnit val="5.000000000000001E-2"/>
      </c:valAx>
      <c:spPr>
        <a:noFill/>
        <a:ln>
          <a:noFill/>
        </a:ln>
        <a:effectLst/>
      </c:spPr>
    </c:plotArea>
    <c:legend>
      <c:legendPos val="b"/>
      <c:layout>
        <c:manualLayout>
          <c:xMode val="edge"/>
          <c:yMode val="edge"/>
          <c:x val="0.36825930897892717"/>
          <c:y val="0.78181813912091891"/>
          <c:w val="0.26763205133756951"/>
          <c:h val="0.1078075361687055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Arial Nova" panose="020B0504020202020204" pitchFamily="34" charset="0"/>
                <a:ea typeface="+mn-ea"/>
                <a:cs typeface="+mn-cs"/>
              </a:defRPr>
            </a:pPr>
            <a:r>
              <a:rPr lang="en-GB" sz="1050" b="1" baseline="0">
                <a:solidFill>
                  <a:sysClr val="windowText" lastClr="000000"/>
                </a:solidFill>
                <a:latin typeface="Arial Nova" panose="020B0504020202020204" pitchFamily="34" charset="0"/>
              </a:rPr>
              <a:t>Cleaning For Confidence     </a:t>
            </a:r>
            <a:endParaRPr lang="en-GB" sz="1050" b="1">
              <a:solidFill>
                <a:sysClr val="windowText" lastClr="000000"/>
              </a:solidFill>
              <a:latin typeface="Arial Nova" panose="020B0504020202020204" pitchFamily="34" charset="0"/>
            </a:endParaRPr>
          </a:p>
        </c:rich>
      </c:tx>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Arial Nova" panose="020B0504020202020204" pitchFamily="34" charset="0"/>
              <a:ea typeface="+mn-ea"/>
              <a:cs typeface="+mn-cs"/>
            </a:defRPr>
          </a:pPr>
          <a:endParaRPr lang="en-US"/>
        </a:p>
      </c:txPr>
    </c:title>
    <c:autoTitleDeleted val="0"/>
    <c:plotArea>
      <c:layout/>
      <c:lineChart>
        <c:grouping val="standard"/>
        <c:varyColors val="0"/>
        <c:ser>
          <c:idx val="21"/>
          <c:order val="21"/>
          <c:tx>
            <c:strRef>
              <c:f>'Data warehouse'!$C$686</c:f>
              <c:strCache>
                <c:ptCount val="1"/>
                <c:pt idx="0">
                  <c:v>AVERAGE</c:v>
                </c:pt>
              </c:strCache>
            </c:strRef>
          </c:tx>
          <c:spPr>
            <a:ln w="28575" cap="rnd">
              <a:solidFill>
                <a:schemeClr val="accent4">
                  <a:lumMod val="80000"/>
                </a:schemeClr>
              </a:solidFill>
              <a:round/>
            </a:ln>
            <a:effectLst/>
          </c:spPr>
          <c:marker>
            <c:symbol val="none"/>
          </c:marker>
          <c:cat>
            <c:strRef>
              <c:f>'Data warehouse'!$F$662:$O$662</c:f>
              <c:strCache>
                <c:ptCount val="10"/>
                <c:pt idx="0">
                  <c:v>Jun-22</c:v>
                </c:pt>
                <c:pt idx="1">
                  <c:v>Jul-22</c:v>
                </c:pt>
                <c:pt idx="2">
                  <c:v>Aug-22</c:v>
                </c:pt>
                <c:pt idx="3">
                  <c:v>Sep-22</c:v>
                </c:pt>
                <c:pt idx="4">
                  <c:v>Oct-22</c:v>
                </c:pt>
                <c:pt idx="5">
                  <c:v>Nov-22</c:v>
                </c:pt>
                <c:pt idx="6">
                  <c:v>Dec-22</c:v>
                </c:pt>
                <c:pt idx="7">
                  <c:v>Jan-23</c:v>
                </c:pt>
                <c:pt idx="8">
                  <c:v>Feb-23</c:v>
                </c:pt>
                <c:pt idx="9">
                  <c:v>Mar-23</c:v>
                </c:pt>
              </c:strCache>
              <c:extLst/>
            </c:strRef>
          </c:cat>
          <c:val>
            <c:numRef>
              <c:f>'Data warehouse'!$F$686:$O$686</c:f>
              <c:numCache>
                <c:formatCode>0%</c:formatCode>
                <c:ptCount val="10"/>
                <c:pt idx="0">
                  <c:v>0.9674329190444394</c:v>
                </c:pt>
                <c:pt idx="1">
                  <c:v>0.96810957951275645</c:v>
                </c:pt>
                <c:pt idx="2">
                  <c:v>0.96954386290665528</c:v>
                </c:pt>
                <c:pt idx="3">
                  <c:v>0.96543643329294881</c:v>
                </c:pt>
                <c:pt idx="4">
                  <c:v>0.96645975815885576</c:v>
                </c:pt>
                <c:pt idx="5">
                  <c:v>0.96988811188811186</c:v>
                </c:pt>
                <c:pt idx="6">
                  <c:v>0.97861904761904739</c:v>
                </c:pt>
                <c:pt idx="7">
                  <c:v>0.96599999999999997</c:v>
                </c:pt>
                <c:pt idx="8">
                  <c:v>0.96500000000000008</c:v>
                </c:pt>
                <c:pt idx="9">
                  <c:v>0.96047619047619059</c:v>
                </c:pt>
              </c:numCache>
              <c:extLst/>
            </c:numRef>
          </c:val>
          <c:smooth val="0"/>
          <c:extLst>
            <c:ext xmlns:c16="http://schemas.microsoft.com/office/drawing/2014/chart" uri="{C3380CC4-5D6E-409C-BE32-E72D297353CC}">
              <c16:uniqueId val="{00000000-FABC-4088-8A46-4C103AFED87B}"/>
            </c:ext>
          </c:extLst>
        </c:ser>
        <c:ser>
          <c:idx val="0"/>
          <c:order val="0"/>
          <c:tx>
            <c:strRef>
              <c:f>'Data warehouse'!$C$663</c:f>
              <c:strCache>
                <c:ptCount val="1"/>
                <c:pt idx="0">
                  <c:v>Target</c:v>
                </c:pt>
              </c:strCache>
            </c:strRef>
          </c:tx>
          <c:spPr>
            <a:ln w="25400" cap="rnd">
              <a:solidFill>
                <a:srgbClr val="FF0000"/>
              </a:solidFill>
              <a:round/>
            </a:ln>
            <a:effectLst/>
          </c:spPr>
          <c:marker>
            <c:symbol val="none"/>
          </c:marker>
          <c:cat>
            <c:strRef>
              <c:f>'Data warehouse'!$F$662:$O$662</c:f>
              <c:strCache>
                <c:ptCount val="10"/>
                <c:pt idx="0">
                  <c:v>Jun-22</c:v>
                </c:pt>
                <c:pt idx="1">
                  <c:v>Jul-22</c:v>
                </c:pt>
                <c:pt idx="2">
                  <c:v>Aug-22</c:v>
                </c:pt>
                <c:pt idx="3">
                  <c:v>Sep-22</c:v>
                </c:pt>
                <c:pt idx="4">
                  <c:v>Oct-22</c:v>
                </c:pt>
                <c:pt idx="5">
                  <c:v>Nov-22</c:v>
                </c:pt>
                <c:pt idx="6">
                  <c:v>Dec-22</c:v>
                </c:pt>
                <c:pt idx="7">
                  <c:v>Jan-23</c:v>
                </c:pt>
                <c:pt idx="8">
                  <c:v>Feb-23</c:v>
                </c:pt>
                <c:pt idx="9">
                  <c:v>Mar-23</c:v>
                </c:pt>
              </c:strCache>
              <c:extLst/>
            </c:strRef>
          </c:cat>
          <c:val>
            <c:numRef>
              <c:f>'Data warehouse'!$F$663:$O$663</c:f>
              <c:numCache>
                <c:formatCode>0%</c:formatCode>
                <c:ptCount val="10"/>
                <c:pt idx="0">
                  <c:v>0.92</c:v>
                </c:pt>
                <c:pt idx="1">
                  <c:v>0.92</c:v>
                </c:pt>
                <c:pt idx="2">
                  <c:v>0.92</c:v>
                </c:pt>
                <c:pt idx="3">
                  <c:v>0.92</c:v>
                </c:pt>
                <c:pt idx="4">
                  <c:v>0.92</c:v>
                </c:pt>
                <c:pt idx="5">
                  <c:v>0.92</c:v>
                </c:pt>
                <c:pt idx="6">
                  <c:v>0.92</c:v>
                </c:pt>
                <c:pt idx="7">
                  <c:v>0.92</c:v>
                </c:pt>
                <c:pt idx="8">
                  <c:v>0.92</c:v>
                </c:pt>
                <c:pt idx="9">
                  <c:v>0.92</c:v>
                </c:pt>
              </c:numCache>
              <c:extLst/>
            </c:numRef>
          </c:val>
          <c:smooth val="0"/>
          <c:extLst>
            <c:ext xmlns:c16="http://schemas.microsoft.com/office/drawing/2014/chart" uri="{C3380CC4-5D6E-409C-BE32-E72D297353CC}">
              <c16:uniqueId val="{00000001-FABC-4088-8A46-4C103AFED87B}"/>
            </c:ext>
          </c:extLst>
        </c:ser>
        <c:dLbls>
          <c:showLegendKey val="0"/>
          <c:showVal val="0"/>
          <c:showCatName val="0"/>
          <c:showSerName val="0"/>
          <c:showPercent val="0"/>
          <c:showBubbleSize val="0"/>
        </c:dLbls>
        <c:smooth val="0"/>
        <c:axId val="538082928"/>
        <c:axId val="538075440"/>
        <c:extLst>
          <c:ext xmlns:c15="http://schemas.microsoft.com/office/drawing/2012/chart" uri="{02D57815-91ED-43cb-92C2-25804820EDAC}">
            <c15:filteredLineSeries>
              <c15:ser>
                <c:idx val="1"/>
                <c:order val="1"/>
                <c:tx>
                  <c:strRef>
                    <c:extLst>
                      <c:ext uri="{02D57815-91ED-43cb-92C2-25804820EDAC}">
                        <c15:formulaRef>
                          <c15:sqref>'Data warehouse'!$C$664</c15:sqref>
                        </c15:formulaRef>
                      </c:ext>
                    </c:extLst>
                    <c:strCache>
                      <c:ptCount val="1"/>
                      <c:pt idx="0">
                        <c:v> Orthotics</c:v>
                      </c:pt>
                    </c:strCache>
                  </c:strRef>
                </c:tx>
                <c:spPr>
                  <a:ln w="28575" cap="rnd">
                    <a:solidFill>
                      <a:schemeClr val="accent2"/>
                    </a:solidFill>
                    <a:round/>
                  </a:ln>
                  <a:effectLst/>
                </c:spPr>
                <c:marker>
                  <c:symbol val="none"/>
                </c:marker>
                <c:cat>
                  <c:strRef>
                    <c:extLst>
                      <c:ext uri="{02D57815-91ED-43cb-92C2-25804820EDAC}">
                        <c15:formulaRef>
                          <c15:sqref>'Data warehouse'!$F$662:$O$662</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c:ext uri="{02D57815-91ED-43cb-92C2-25804820EDAC}">
                        <c15:formulaRef>
                          <c15:sqref>'Data warehouse'!$F$664:$O$664</c15:sqref>
                        </c15:formulaRef>
                      </c:ext>
                    </c:extLst>
                    <c:numCache>
                      <c:formatCode>0%</c:formatCode>
                      <c:ptCount val="10"/>
                      <c:pt idx="0">
                        <c:v>0.97058823529411764</c:v>
                      </c:pt>
                      <c:pt idx="1">
                        <c:v>0.97142857142857142</c:v>
                      </c:pt>
                      <c:pt idx="2">
                        <c:v>0.97142857142857142</c:v>
                      </c:pt>
                      <c:pt idx="3">
                        <c:v>0.96</c:v>
                      </c:pt>
                      <c:pt idx="4">
                        <c:v>0.96666666666666667</c:v>
                      </c:pt>
                      <c:pt idx="5">
                        <c:v>0.93899999999999995</c:v>
                      </c:pt>
                      <c:pt idx="6">
                        <c:v>1</c:v>
                      </c:pt>
                      <c:pt idx="7">
                        <c:v>0.96899999999999997</c:v>
                      </c:pt>
                      <c:pt idx="8">
                        <c:v>1</c:v>
                      </c:pt>
                      <c:pt idx="9">
                        <c:v>1</c:v>
                      </c:pt>
                    </c:numCache>
                  </c:numRef>
                </c:val>
                <c:smooth val="0"/>
                <c:extLst>
                  <c:ext xmlns:c16="http://schemas.microsoft.com/office/drawing/2014/chart" uri="{C3380CC4-5D6E-409C-BE32-E72D297353CC}">
                    <c16:uniqueId val="{00000002-FABC-4088-8A46-4C103AFED87B}"/>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'Data warehouse'!$C$666</c15:sqref>
                        </c15:formulaRef>
                      </c:ext>
                    </c:extLst>
                    <c:strCache>
                      <c:ptCount val="1"/>
                      <c:pt idx="0">
                        <c:v> Pharmacy</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warehouse'!$F$662:$O$662</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warehouse'!$F$666:$O$666</c15:sqref>
                        </c15:formulaRef>
                      </c:ext>
                    </c:extLst>
                    <c:numCache>
                      <c:formatCode>0%</c:formatCode>
                      <c:ptCount val="10"/>
                      <c:pt idx="0">
                        <c:v>0.96875</c:v>
                      </c:pt>
                      <c:pt idx="1">
                        <c:v>0.96551724137931039</c:v>
                      </c:pt>
                      <c:pt idx="2">
                        <c:v>1</c:v>
                      </c:pt>
                      <c:pt idx="3">
                        <c:v>0</c:v>
                      </c:pt>
                      <c:pt idx="4">
                        <c:v>0.96</c:v>
                      </c:pt>
                      <c:pt idx="5">
                        <c:v>1</c:v>
                      </c:pt>
                      <c:pt idx="6">
                        <c:v>1</c:v>
                      </c:pt>
                      <c:pt idx="7">
                        <c:v>1</c:v>
                      </c:pt>
                      <c:pt idx="8">
                        <c:v>0.93300000000000005</c:v>
                      </c:pt>
                      <c:pt idx="9">
                        <c:v>0.93300000000000005</c:v>
                      </c:pt>
                    </c:numCache>
                  </c:numRef>
                </c:val>
                <c:smooth val="0"/>
                <c:extLst xmlns:c15="http://schemas.microsoft.com/office/drawing/2012/chart">
                  <c:ext xmlns:c16="http://schemas.microsoft.com/office/drawing/2014/chart" uri="{C3380CC4-5D6E-409C-BE32-E72D297353CC}">
                    <c16:uniqueId val="{00000003-FABC-4088-8A46-4C103AFED87B}"/>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'Data warehouse'!$C$667</c15:sqref>
                        </c15:formulaRef>
                      </c:ext>
                    </c:extLst>
                    <c:strCache>
                      <c:ptCount val="1"/>
                      <c:pt idx="0">
                        <c:v> Radiology </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warehouse'!$F$662:$O$662</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warehouse'!$F$667:$O$667</c15:sqref>
                        </c15:formulaRef>
                      </c:ext>
                    </c:extLst>
                    <c:numCache>
                      <c:formatCode>0%</c:formatCode>
                      <c:ptCount val="10"/>
                      <c:pt idx="0">
                        <c:v>0</c:v>
                      </c:pt>
                      <c:pt idx="1">
                        <c:v>0</c:v>
                      </c:pt>
                      <c:pt idx="2">
                        <c:v>0</c:v>
                      </c:pt>
                      <c:pt idx="3">
                        <c:v>0.97142857142857142</c:v>
                      </c:pt>
                      <c:pt idx="4">
                        <c:v>0.96</c:v>
                      </c:pt>
                      <c:pt idx="5">
                        <c:v>0.96153846153846156</c:v>
                      </c:pt>
                      <c:pt idx="7">
                        <c:v>0.96699999999999997</c:v>
                      </c:pt>
                    </c:numCache>
                  </c:numRef>
                </c:val>
                <c:smooth val="0"/>
                <c:extLst xmlns:c15="http://schemas.microsoft.com/office/drawing/2012/chart">
                  <c:ext xmlns:c16="http://schemas.microsoft.com/office/drawing/2014/chart" uri="{C3380CC4-5D6E-409C-BE32-E72D297353CC}">
                    <c16:uniqueId val="{00000004-FABC-4088-8A46-4C103AFED87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'Data warehouse'!$C$668</c15:sqref>
                        </c15:formulaRef>
                      </c:ext>
                    </c:extLst>
                    <c:strCache>
                      <c:ptCount val="1"/>
                      <c:pt idx="0">
                        <c:v> Therapies</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warehouse'!$F$662:$O$662</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warehouse'!$F$668:$O$668</c15:sqref>
                        </c15:formulaRef>
                      </c:ext>
                    </c:extLst>
                    <c:numCache>
                      <c:formatCode>0%</c:formatCode>
                      <c:ptCount val="10"/>
                      <c:pt idx="0">
                        <c:v>0.95959595959595956</c:v>
                      </c:pt>
                      <c:pt idx="1">
                        <c:v>1</c:v>
                      </c:pt>
                      <c:pt idx="2">
                        <c:v>0.97029702970297027</c:v>
                      </c:pt>
                      <c:pt idx="3">
                        <c:v>0.96666666666666667</c:v>
                      </c:pt>
                      <c:pt idx="4">
                        <c:v>1</c:v>
                      </c:pt>
                      <c:pt idx="5">
                        <c:v>1</c:v>
                      </c:pt>
                      <c:pt idx="6">
                        <c:v>1</c:v>
                      </c:pt>
                      <c:pt idx="8">
                        <c:v>0.91700000000000004</c:v>
                      </c:pt>
                      <c:pt idx="9">
                        <c:v>0.91700000000000004</c:v>
                      </c:pt>
                    </c:numCache>
                  </c:numRef>
                </c:val>
                <c:smooth val="0"/>
                <c:extLst xmlns:c15="http://schemas.microsoft.com/office/drawing/2012/chart">
                  <c:ext xmlns:c16="http://schemas.microsoft.com/office/drawing/2014/chart" uri="{C3380CC4-5D6E-409C-BE32-E72D297353CC}">
                    <c16:uniqueId val="{00000005-FABC-4088-8A46-4C103AFED87B}"/>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'Data warehouse'!$C$669</c15:sqref>
                        </c15:formulaRef>
                      </c:ext>
                    </c:extLst>
                    <c:strCache>
                      <c:ptCount val="1"/>
                      <c:pt idx="0">
                        <c:v> Baschurch Day Unit</c:v>
                      </c:pt>
                    </c:strCache>
                  </c:strRef>
                </c:tx>
                <c:spPr>
                  <a:ln w="28575"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warehouse'!$F$662:$O$662</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warehouse'!$F$669:$O$669</c15:sqref>
                        </c15:formulaRef>
                      </c:ext>
                    </c:extLst>
                    <c:numCache>
                      <c:formatCode>0%</c:formatCode>
                      <c:ptCount val="10"/>
                      <c:pt idx="0">
                        <c:v>0.967741935483871</c:v>
                      </c:pt>
                      <c:pt idx="1">
                        <c:v>0.96666666666666667</c:v>
                      </c:pt>
                      <c:pt idx="2">
                        <c:v>0.967741935483871</c:v>
                      </c:pt>
                      <c:pt idx="3">
                        <c:v>1</c:v>
                      </c:pt>
                      <c:pt idx="4">
                        <c:v>1</c:v>
                      </c:pt>
                      <c:pt idx="5">
                        <c:v>0.96699999999999997</c:v>
                      </c:pt>
                      <c:pt idx="6">
                        <c:v>0.96599999999999997</c:v>
                      </c:pt>
                      <c:pt idx="7">
                        <c:v>0.91700000000000004</c:v>
                      </c:pt>
                      <c:pt idx="8">
                        <c:v>0.96699999999999997</c:v>
                      </c:pt>
                      <c:pt idx="9">
                        <c:v>0.96699999999999997</c:v>
                      </c:pt>
                    </c:numCache>
                  </c:numRef>
                </c:val>
                <c:smooth val="0"/>
                <c:extLst xmlns:c15="http://schemas.microsoft.com/office/drawing/2012/chart">
                  <c:ext xmlns:c16="http://schemas.microsoft.com/office/drawing/2014/chart" uri="{C3380CC4-5D6E-409C-BE32-E72D297353CC}">
                    <c16:uniqueId val="{00000006-FABC-4088-8A46-4C103AFED87B}"/>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'Data warehouse'!$C$670</c15:sqref>
                        </c15:formulaRef>
                      </c:ext>
                    </c:extLst>
                    <c:strCache>
                      <c:ptCount val="1"/>
                      <c:pt idx="0">
                        <c:v> Clwyd Ward</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warehouse'!$F$662:$O$662</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warehouse'!$F$670:$O$670</c15:sqref>
                        </c15:formulaRef>
                      </c:ext>
                    </c:extLst>
                    <c:numCache>
                      <c:formatCode>0%</c:formatCode>
                      <c:ptCount val="10"/>
                      <c:pt idx="0">
                        <c:v>1</c:v>
                      </c:pt>
                      <c:pt idx="1">
                        <c:v>1</c:v>
                      </c:pt>
                      <c:pt idx="2">
                        <c:v>1</c:v>
                      </c:pt>
                      <c:pt idx="3">
                        <c:v>0.96153846153846156</c:v>
                      </c:pt>
                      <c:pt idx="4">
                        <c:v>0.95652173913043481</c:v>
                      </c:pt>
                      <c:pt idx="5">
                        <c:v>1</c:v>
                      </c:pt>
                      <c:pt idx="6">
                        <c:v>1</c:v>
                      </c:pt>
                      <c:pt idx="7">
                        <c:v>0.96699999999999997</c:v>
                      </c:pt>
                      <c:pt idx="8">
                        <c:v>0.92300000000000004</c:v>
                      </c:pt>
                      <c:pt idx="9">
                        <c:v>0.92300000000000004</c:v>
                      </c:pt>
                    </c:numCache>
                  </c:numRef>
                </c:val>
                <c:smooth val="0"/>
                <c:extLst xmlns:c15="http://schemas.microsoft.com/office/drawing/2012/chart">
                  <c:ext xmlns:c16="http://schemas.microsoft.com/office/drawing/2014/chart" uri="{C3380CC4-5D6E-409C-BE32-E72D297353CC}">
                    <c16:uniqueId val="{00000007-FABC-4088-8A46-4C103AFED87B}"/>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'Data warehouse'!$C$671</c15:sqref>
                        </c15:formulaRef>
                      </c:ext>
                    </c:extLst>
                    <c:strCache>
                      <c:ptCount val="1"/>
                      <c:pt idx="0">
                        <c:v> HDU</c:v>
                      </c:pt>
                    </c:strCache>
                  </c:strRef>
                </c:tx>
                <c:spPr>
                  <a:ln w="28575" cap="rnd">
                    <a:solidFill>
                      <a:schemeClr val="accent2">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warehouse'!$F$662:$O$662</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warehouse'!$F$671:$O$671</c15:sqref>
                        </c15:formulaRef>
                      </c:ext>
                    </c:extLst>
                    <c:numCache>
                      <c:formatCode>0%</c:formatCode>
                      <c:ptCount val="10"/>
                      <c:pt idx="0">
                        <c:v>0.96</c:v>
                      </c:pt>
                      <c:pt idx="1">
                        <c:v>1</c:v>
                      </c:pt>
                      <c:pt idx="2">
                        <c:v>1</c:v>
                      </c:pt>
                      <c:pt idx="3">
                        <c:v>0.96296296296296291</c:v>
                      </c:pt>
                      <c:pt idx="4">
                        <c:v>0</c:v>
                      </c:pt>
                      <c:pt idx="5">
                        <c:v>0.96</c:v>
                      </c:pt>
                      <c:pt idx="6">
                        <c:v>0.96199999999999997</c:v>
                      </c:pt>
                      <c:pt idx="7">
                        <c:v>0.96</c:v>
                      </c:pt>
                      <c:pt idx="8">
                        <c:v>1</c:v>
                      </c:pt>
                      <c:pt idx="9">
                        <c:v>1</c:v>
                      </c:pt>
                    </c:numCache>
                  </c:numRef>
                </c:val>
                <c:smooth val="0"/>
                <c:extLst xmlns:c15="http://schemas.microsoft.com/office/drawing/2012/chart">
                  <c:ext xmlns:c16="http://schemas.microsoft.com/office/drawing/2014/chart" uri="{C3380CC4-5D6E-409C-BE32-E72D297353CC}">
                    <c16:uniqueId val="{00000008-FABC-4088-8A46-4C103AFED87B}"/>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'Data warehouse'!$C$672</c15:sqref>
                        </c15:formulaRef>
                      </c:ext>
                    </c:extLst>
                    <c:strCache>
                      <c:ptCount val="1"/>
                      <c:pt idx="0">
                        <c:v> Kenyon Ward</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warehouse'!$F$662:$O$662</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warehouse'!$F$672:$O$672</c15:sqref>
                        </c15:formulaRef>
                      </c:ext>
                    </c:extLst>
                    <c:numCache>
                      <c:formatCode>0%</c:formatCode>
                      <c:ptCount val="10"/>
                      <c:pt idx="0">
                        <c:v>1</c:v>
                      </c:pt>
                      <c:pt idx="1">
                        <c:v>0.92592592592592593</c:v>
                      </c:pt>
                      <c:pt idx="2">
                        <c:v>0.92592592592592593</c:v>
                      </c:pt>
                      <c:pt idx="3">
                        <c:v>1</c:v>
                      </c:pt>
                      <c:pt idx="4">
                        <c:v>0.96296296296296291</c:v>
                      </c:pt>
                      <c:pt idx="5">
                        <c:v>0.96</c:v>
                      </c:pt>
                      <c:pt idx="6">
                        <c:v>0.95199999999999996</c:v>
                      </c:pt>
                      <c:pt idx="7">
                        <c:v>0.96199999999999997</c:v>
                      </c:pt>
                      <c:pt idx="8">
                        <c:v>1</c:v>
                      </c:pt>
                      <c:pt idx="9">
                        <c:v>1</c:v>
                      </c:pt>
                    </c:numCache>
                  </c:numRef>
                </c:val>
                <c:smooth val="0"/>
                <c:extLst xmlns:c15="http://schemas.microsoft.com/office/drawing/2012/chart">
                  <c:ext xmlns:c16="http://schemas.microsoft.com/office/drawing/2014/chart" uri="{C3380CC4-5D6E-409C-BE32-E72D297353CC}">
                    <c16:uniqueId val="{00000009-FABC-4088-8A46-4C103AFED87B}"/>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'Data warehouse'!$C$673</c15:sqref>
                        </c15:formulaRef>
                      </c:ext>
                    </c:extLst>
                    <c:strCache>
                      <c:ptCount val="1"/>
                      <c:pt idx="0">
                        <c:v> Ludlow Ward</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warehouse'!$F$662:$O$662</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warehouse'!$F$673:$O$673</c15:sqref>
                        </c15:formulaRef>
                      </c:ext>
                    </c:extLst>
                    <c:numCache>
                      <c:formatCode>0%</c:formatCode>
                      <c:ptCount val="10"/>
                      <c:pt idx="0">
                        <c:v>0.96551724137931039</c:v>
                      </c:pt>
                      <c:pt idx="1">
                        <c:v>1</c:v>
                      </c:pt>
                      <c:pt idx="2">
                        <c:v>1</c:v>
                      </c:pt>
                      <c:pt idx="3">
                        <c:v>1</c:v>
                      </c:pt>
                      <c:pt idx="4">
                        <c:v>1</c:v>
                      </c:pt>
                      <c:pt idx="5">
                        <c:v>1</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0A-FABC-4088-8A46-4C103AFED87B}"/>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'Data warehouse'!$C$674</c15:sqref>
                        </c15:formulaRef>
                      </c:ext>
                    </c:extLst>
                    <c:strCache>
                      <c:ptCount val="1"/>
                      <c:pt idx="0">
                        <c:v> Powys Ward</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warehouse'!$F$662:$O$662</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warehouse'!$F$674:$O$674</c15:sqref>
                        </c15:formulaRef>
                      </c:ext>
                    </c:extLst>
                    <c:numCache>
                      <c:formatCode>0%</c:formatCode>
                      <c:ptCount val="10"/>
                      <c:pt idx="0">
                        <c:v>1</c:v>
                      </c:pt>
                      <c:pt idx="1">
                        <c:v>1</c:v>
                      </c:pt>
                      <c:pt idx="2">
                        <c:v>1</c:v>
                      </c:pt>
                      <c:pt idx="3">
                        <c:v>0.95652173913043481</c:v>
                      </c:pt>
                      <c:pt idx="4">
                        <c:v>0.9285714285714286</c:v>
                      </c:pt>
                      <c:pt idx="5">
                        <c:v>0.96299999999999997</c:v>
                      </c:pt>
                      <c:pt idx="6">
                        <c:v>1</c:v>
                      </c:pt>
                      <c:pt idx="7">
                        <c:v>1</c:v>
                      </c:pt>
                      <c:pt idx="8">
                        <c:v>0.96299999999999997</c:v>
                      </c:pt>
                      <c:pt idx="9">
                        <c:v>0.96299999999999997</c:v>
                      </c:pt>
                    </c:numCache>
                  </c:numRef>
                </c:val>
                <c:smooth val="0"/>
                <c:extLst xmlns:c15="http://schemas.microsoft.com/office/drawing/2012/chart">
                  <c:ext xmlns:c16="http://schemas.microsoft.com/office/drawing/2014/chart" uri="{C3380CC4-5D6E-409C-BE32-E72D297353CC}">
                    <c16:uniqueId val="{0000000B-FABC-4088-8A46-4C103AFED87B}"/>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'Data warehouse'!$C$676</c15:sqref>
                        </c15:formulaRef>
                      </c:ext>
                    </c:extLst>
                    <c:strCache>
                      <c:ptCount val="1"/>
                      <c:pt idx="0">
                        <c:v> Recovery</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warehouse'!$F$662:$O$662</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warehouse'!$F$676:$O$676</c15:sqref>
                        </c15:formulaRef>
                      </c:ext>
                    </c:extLst>
                    <c:numCache>
                      <c:formatCode>0%</c:formatCode>
                      <c:ptCount val="10"/>
                      <c:pt idx="0">
                        <c:v>1</c:v>
                      </c:pt>
                      <c:pt idx="1">
                        <c:v>1</c:v>
                      </c:pt>
                      <c:pt idx="2">
                        <c:v>1</c:v>
                      </c:pt>
                      <c:pt idx="3">
                        <c:v>1</c:v>
                      </c:pt>
                      <c:pt idx="4">
                        <c:v>1</c:v>
                      </c:pt>
                      <c:pt idx="5">
                        <c:v>0.96599999999999997</c:v>
                      </c:pt>
                      <c:pt idx="6">
                        <c:v>1</c:v>
                      </c:pt>
                      <c:pt idx="7">
                        <c:v>0.95699999999999996</c:v>
                      </c:pt>
                      <c:pt idx="8">
                        <c:v>1</c:v>
                      </c:pt>
                      <c:pt idx="9">
                        <c:v>1</c:v>
                      </c:pt>
                    </c:numCache>
                  </c:numRef>
                </c:val>
                <c:smooth val="0"/>
                <c:extLst xmlns:c15="http://schemas.microsoft.com/office/drawing/2012/chart">
                  <c:ext xmlns:c16="http://schemas.microsoft.com/office/drawing/2014/chart" uri="{C3380CC4-5D6E-409C-BE32-E72D297353CC}">
                    <c16:uniqueId val="{0000000C-FABC-4088-8A46-4C103AFED87B}"/>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'Data warehouse'!$C$677</c15:sqref>
                        </c15:formulaRef>
                      </c:ext>
                    </c:extLst>
                    <c:strCache>
                      <c:ptCount val="1"/>
                      <c:pt idx="0">
                        <c:v> Theatres and Anaesthetics</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warehouse'!$F$662:$O$662</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warehouse'!$F$677:$O$677</c15:sqref>
                        </c15:formulaRef>
                      </c:ext>
                    </c:extLst>
                    <c:numCache>
                      <c:formatCode>0%</c:formatCode>
                      <c:ptCount val="10"/>
                      <c:pt idx="0">
                        <c:v>1</c:v>
                      </c:pt>
                      <c:pt idx="1">
                        <c:v>1</c:v>
                      </c:pt>
                      <c:pt idx="2">
                        <c:v>1</c:v>
                      </c:pt>
                      <c:pt idx="3">
                        <c:v>0.82608695652173914</c:v>
                      </c:pt>
                      <c:pt idx="4">
                        <c:v>0.97435897435897434</c:v>
                      </c:pt>
                      <c:pt idx="5">
                        <c:v>1</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0D-FABC-4088-8A46-4C103AFED87B}"/>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'Data warehouse'!$C$678</c15:sqref>
                        </c15:formulaRef>
                      </c:ext>
                    </c:extLst>
                    <c:strCache>
                      <c:ptCount val="1"/>
                      <c:pt idx="0">
                        <c:v> TSSU</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warehouse'!$F$662:$O$662</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warehouse'!$F$678:$O$678</c15:sqref>
                        </c15:formulaRef>
                      </c:ext>
                    </c:extLst>
                    <c:numCache>
                      <c:formatCode>0%</c:formatCode>
                      <c:ptCount val="10"/>
                      <c:pt idx="0">
                        <c:v>0.75</c:v>
                      </c:pt>
                      <c:pt idx="1">
                        <c:v>0.79166666666666663</c:v>
                      </c:pt>
                      <c:pt idx="2">
                        <c:v>0.79166666666666663</c:v>
                      </c:pt>
                      <c:pt idx="3">
                        <c:v>0.96</c:v>
                      </c:pt>
                      <c:pt idx="4">
                        <c:v>1</c:v>
                      </c:pt>
                      <c:pt idx="5">
                        <c:v>0.82599999999999996</c:v>
                      </c:pt>
                      <c:pt idx="6">
                        <c:v>0.85699999999999998</c:v>
                      </c:pt>
                      <c:pt idx="7">
                        <c:v>1</c:v>
                      </c:pt>
                      <c:pt idx="9">
                        <c:v>0.87</c:v>
                      </c:pt>
                    </c:numCache>
                  </c:numRef>
                </c:val>
                <c:smooth val="0"/>
                <c:extLst xmlns:c15="http://schemas.microsoft.com/office/drawing/2012/chart">
                  <c:ext xmlns:c16="http://schemas.microsoft.com/office/drawing/2014/chart" uri="{C3380CC4-5D6E-409C-BE32-E72D297353CC}">
                    <c16:uniqueId val="{0000000E-FABC-4088-8A46-4C103AFED87B}"/>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'Data warehouse'!$C$679</c15:sqref>
                        </c15:formulaRef>
                      </c:ext>
                    </c:extLst>
                    <c:strCache>
                      <c:ptCount val="1"/>
                      <c:pt idx="0">
                        <c:v> Alice Ward</c:v>
                      </c:pt>
                    </c:strCache>
                  </c:strRef>
                </c:tx>
                <c:spPr>
                  <a:ln w="28575" cap="rnd">
                    <a:solidFill>
                      <a:schemeClr val="accent3">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warehouse'!$F$662:$O$662</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warehouse'!$F$679:$O$679</c15:sqref>
                        </c15:formulaRef>
                      </c:ext>
                    </c:extLst>
                    <c:numCache>
                      <c:formatCode>0%</c:formatCode>
                      <c:ptCount val="10"/>
                      <c:pt idx="0">
                        <c:v>1</c:v>
                      </c:pt>
                      <c:pt idx="1">
                        <c:v>0.96153846153846156</c:v>
                      </c:pt>
                      <c:pt idx="2">
                        <c:v>0.96153846153846156</c:v>
                      </c:pt>
                      <c:pt idx="3">
                        <c:v>0.95121951219512191</c:v>
                      </c:pt>
                      <c:pt idx="4">
                        <c:v>0.96153846153846156</c:v>
                      </c:pt>
                      <c:pt idx="5">
                        <c:v>1</c:v>
                      </c:pt>
                      <c:pt idx="6">
                        <c:v>1</c:v>
                      </c:pt>
                      <c:pt idx="7">
                        <c:v>0.9</c:v>
                      </c:pt>
                      <c:pt idx="8">
                        <c:v>1</c:v>
                      </c:pt>
                      <c:pt idx="9">
                        <c:v>1</c:v>
                      </c:pt>
                    </c:numCache>
                  </c:numRef>
                </c:val>
                <c:smooth val="0"/>
                <c:extLst xmlns:c15="http://schemas.microsoft.com/office/drawing/2012/chart">
                  <c:ext xmlns:c16="http://schemas.microsoft.com/office/drawing/2014/chart" uri="{C3380CC4-5D6E-409C-BE32-E72D297353CC}">
                    <c16:uniqueId val="{0000000F-FABC-4088-8A46-4C103AFED87B}"/>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'Data warehouse'!$C$680</c15:sqref>
                        </c15:formulaRef>
                      </c:ext>
                    </c:extLst>
                    <c:strCache>
                      <c:ptCount val="1"/>
                      <c:pt idx="0">
                        <c:v> Gladstone Ward</c:v>
                      </c:pt>
                    </c:strCache>
                  </c:strRef>
                </c:tx>
                <c:spPr>
                  <a:ln w="28575" cap="rnd">
                    <a:solidFill>
                      <a:schemeClr val="accent4">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warehouse'!$F$662:$O$662</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warehouse'!$F$680:$O$680</c15:sqref>
                        </c15:formulaRef>
                      </c:ext>
                    </c:extLst>
                    <c:numCache>
                      <c:formatCode>0%</c:formatCode>
                      <c:ptCount val="10"/>
                      <c:pt idx="0">
                        <c:v>0.97674418604651159</c:v>
                      </c:pt>
                      <c:pt idx="1">
                        <c:v>0.95348837209302328</c:v>
                      </c:pt>
                      <c:pt idx="2">
                        <c:v>0.95238095238095233</c:v>
                      </c:pt>
                      <c:pt idx="3">
                        <c:v>1</c:v>
                      </c:pt>
                      <c:pt idx="4">
                        <c:v>0.94117647058823528</c:v>
                      </c:pt>
                      <c:pt idx="5">
                        <c:v>0.97499999999999998</c:v>
                      </c:pt>
                      <c:pt idx="6">
                        <c:v>0.97099999999999997</c:v>
                      </c:pt>
                      <c:pt idx="7">
                        <c:v>1</c:v>
                      </c:pt>
                      <c:pt idx="8">
                        <c:v>0.90500000000000003</c:v>
                      </c:pt>
                      <c:pt idx="9">
                        <c:v>0.90500000000000003</c:v>
                      </c:pt>
                    </c:numCache>
                  </c:numRef>
                </c:val>
                <c:smooth val="0"/>
                <c:extLst xmlns:c15="http://schemas.microsoft.com/office/drawing/2012/chart">
                  <c:ext xmlns:c16="http://schemas.microsoft.com/office/drawing/2014/chart" uri="{C3380CC4-5D6E-409C-BE32-E72D297353CC}">
                    <c16:uniqueId val="{00000010-FABC-4088-8A46-4C103AFED87B}"/>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'Data warehouse'!$C$681</c15:sqref>
                        </c15:formulaRef>
                      </c:ext>
                    </c:extLst>
                    <c:strCache>
                      <c:ptCount val="1"/>
                      <c:pt idx="0">
                        <c:v> Montgomery</c:v>
                      </c:pt>
                    </c:strCache>
                  </c:strRef>
                </c:tx>
                <c:spPr>
                  <a:ln w="28575" cap="rnd">
                    <a:solidFill>
                      <a:schemeClr val="accent5">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warehouse'!$F$662:$O$662</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warehouse'!$F$681:$O$681</c15:sqref>
                        </c15:formulaRef>
                      </c:ext>
                    </c:extLst>
                    <c:numCache>
                      <c:formatCode>0%</c:formatCode>
                      <c:ptCount val="10"/>
                      <c:pt idx="0">
                        <c:v>1</c:v>
                      </c:pt>
                      <c:pt idx="1">
                        <c:v>1</c:v>
                      </c:pt>
                      <c:pt idx="2">
                        <c:v>1</c:v>
                      </c:pt>
                      <c:pt idx="3">
                        <c:v>0.96296296296296291</c:v>
                      </c:pt>
                      <c:pt idx="4">
                        <c:v>0.95454545454545459</c:v>
                      </c:pt>
                      <c:pt idx="5">
                        <c:v>1</c:v>
                      </c:pt>
                      <c:pt idx="6">
                        <c:v>1</c:v>
                      </c:pt>
                      <c:pt idx="7">
                        <c:v>0.97399999999999998</c:v>
                      </c:pt>
                      <c:pt idx="8">
                        <c:v>1</c:v>
                      </c:pt>
                      <c:pt idx="9">
                        <c:v>1</c:v>
                      </c:pt>
                    </c:numCache>
                  </c:numRef>
                </c:val>
                <c:smooth val="0"/>
                <c:extLst xmlns:c15="http://schemas.microsoft.com/office/drawing/2012/chart">
                  <c:ext xmlns:c16="http://schemas.microsoft.com/office/drawing/2014/chart" uri="{C3380CC4-5D6E-409C-BE32-E72D297353CC}">
                    <c16:uniqueId val="{00000011-FABC-4088-8A46-4C103AFED87B}"/>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'Data warehouse'!$C$682</c15:sqref>
                        </c15:formulaRef>
                      </c:ext>
                    </c:extLst>
                    <c:strCache>
                      <c:ptCount val="1"/>
                      <c:pt idx="0">
                        <c:v> ORLAU</c:v>
                      </c:pt>
                    </c:strCache>
                  </c:strRef>
                </c:tx>
                <c:spPr>
                  <a:ln w="28575" cap="rnd">
                    <a:solidFill>
                      <a:schemeClr val="accent6">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warehouse'!$F$662:$O$662</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warehouse'!$F$682:$O$682</c15:sqref>
                        </c15:formulaRef>
                      </c:ext>
                    </c:extLst>
                    <c:numCache>
                      <c:formatCode>0%</c:formatCode>
                      <c:ptCount val="10"/>
                      <c:pt idx="0">
                        <c:v>1</c:v>
                      </c:pt>
                      <c:pt idx="1">
                        <c:v>1</c:v>
                      </c:pt>
                      <c:pt idx="2">
                        <c:v>1</c:v>
                      </c:pt>
                      <c:pt idx="3">
                        <c:v>0.95238095238095233</c:v>
                      </c:pt>
                      <c:pt idx="4">
                        <c:v>1</c:v>
                      </c:pt>
                      <c:pt idx="5">
                        <c:v>0.96299999999999997</c:v>
                      </c:pt>
                      <c:pt idx="6">
                        <c:v>0.96199999999999997</c:v>
                      </c:pt>
                      <c:pt idx="7">
                        <c:v>1</c:v>
                      </c:pt>
                      <c:pt idx="8">
                        <c:v>0.96299999999999997</c:v>
                      </c:pt>
                      <c:pt idx="9">
                        <c:v>0.96299999999999997</c:v>
                      </c:pt>
                    </c:numCache>
                  </c:numRef>
                </c:val>
                <c:smooth val="0"/>
                <c:extLst xmlns:c15="http://schemas.microsoft.com/office/drawing/2012/chart">
                  <c:ext xmlns:c16="http://schemas.microsoft.com/office/drawing/2014/chart" uri="{C3380CC4-5D6E-409C-BE32-E72D297353CC}">
                    <c16:uniqueId val="{00000012-FABC-4088-8A46-4C103AFED87B}"/>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'Data warehouse'!$C$683</c15:sqref>
                        </c15:formulaRef>
                      </c:ext>
                    </c:extLst>
                    <c:strCache>
                      <c:ptCount val="1"/>
                      <c:pt idx="0">
                        <c:v> Oswald Ward</c:v>
                      </c:pt>
                    </c:strCache>
                  </c:strRef>
                </c:tx>
                <c:spPr>
                  <a:ln w="28575" cap="rnd">
                    <a:solidFill>
                      <a:schemeClr val="accent1">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warehouse'!$F$662:$O$662</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warehouse'!$F$683:$O$683</c15:sqref>
                        </c15:formulaRef>
                      </c:ext>
                    </c:extLst>
                    <c:numCache>
                      <c:formatCode>0%</c:formatCode>
                      <c:ptCount val="10"/>
                      <c:pt idx="0">
                        <c:v>1</c:v>
                      </c:pt>
                      <c:pt idx="1">
                        <c:v>0.95454545454545459</c:v>
                      </c:pt>
                      <c:pt idx="2">
                        <c:v>0.95454545454545459</c:v>
                      </c:pt>
                      <c:pt idx="3">
                        <c:v>0.97142857142857142</c:v>
                      </c:pt>
                      <c:pt idx="4">
                        <c:v>1</c:v>
                      </c:pt>
                      <c:pt idx="5">
                        <c:v>1</c:v>
                      </c:pt>
                      <c:pt idx="6">
                        <c:v>1</c:v>
                      </c:pt>
                      <c:pt idx="7">
                        <c:v>0.96299999999999997</c:v>
                      </c:pt>
                      <c:pt idx="8">
                        <c:v>1</c:v>
                      </c:pt>
                      <c:pt idx="9">
                        <c:v>1</c:v>
                      </c:pt>
                    </c:numCache>
                  </c:numRef>
                </c:val>
                <c:smooth val="0"/>
                <c:extLst xmlns:c15="http://schemas.microsoft.com/office/drawing/2012/chart">
                  <c:ext xmlns:c16="http://schemas.microsoft.com/office/drawing/2014/chart" uri="{C3380CC4-5D6E-409C-BE32-E72D297353CC}">
                    <c16:uniqueId val="{00000013-FABC-4088-8A46-4C103AFED87B}"/>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'Data warehouse'!$C$684</c15:sqref>
                        </c15:formulaRef>
                      </c:ext>
                    </c:extLst>
                    <c:strCache>
                      <c:ptCount val="1"/>
                      <c:pt idx="0">
                        <c:v> Sheldon Ward</c:v>
                      </c:pt>
                    </c:strCache>
                  </c:strRef>
                </c:tx>
                <c:spPr>
                  <a:ln w="28575" cap="rnd">
                    <a:solidFill>
                      <a:schemeClr val="accent2">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warehouse'!$F$662:$O$662</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warehouse'!$F$684:$O$684</c15:sqref>
                        </c15:formulaRef>
                      </c:ext>
                    </c:extLst>
                    <c:numCache>
                      <c:formatCode>0%</c:formatCode>
                      <c:ptCount val="10"/>
                      <c:pt idx="0">
                        <c:v>0.91176470588235292</c:v>
                      </c:pt>
                      <c:pt idx="1">
                        <c:v>0.94285714285714284</c:v>
                      </c:pt>
                      <c:pt idx="2">
                        <c:v>0.94285714285714284</c:v>
                      </c:pt>
                      <c:pt idx="3">
                        <c:v>0.93548387096774188</c:v>
                      </c:pt>
                      <c:pt idx="4">
                        <c:v>1</c:v>
                      </c:pt>
                      <c:pt idx="5">
                        <c:v>1</c:v>
                      </c:pt>
                      <c:pt idx="6">
                        <c:v>1</c:v>
                      </c:pt>
                      <c:pt idx="7">
                        <c:v>1</c:v>
                      </c:pt>
                      <c:pt idx="8">
                        <c:v>0.872</c:v>
                      </c:pt>
                      <c:pt idx="9">
                        <c:v>0.872</c:v>
                      </c:pt>
                    </c:numCache>
                  </c:numRef>
                </c:val>
                <c:smooth val="0"/>
                <c:extLst xmlns:c15="http://schemas.microsoft.com/office/drawing/2012/chart">
                  <c:ext xmlns:c16="http://schemas.microsoft.com/office/drawing/2014/chart" uri="{C3380CC4-5D6E-409C-BE32-E72D297353CC}">
                    <c16:uniqueId val="{00000014-FABC-4088-8A46-4C103AFED87B}"/>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'Data warehouse'!$C$685</c15:sqref>
                        </c15:formulaRef>
                      </c:ext>
                    </c:extLst>
                    <c:strCache>
                      <c:ptCount val="1"/>
                      <c:pt idx="0">
                        <c:v> Wrekin Ward</c:v>
                      </c:pt>
                    </c:strCache>
                  </c:strRef>
                </c:tx>
                <c:spPr>
                  <a:ln w="28575" cap="rnd">
                    <a:solidFill>
                      <a:schemeClr val="accent3">
                        <a:lumMod val="8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2400" b="0" i="0" u="none" strike="noStrike" kern="1200" baseline="0">
                          <a:solidFill>
                            <a:schemeClr val="bg1"/>
                          </a:solidFill>
                          <a:latin typeface="Arial Nova"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'Data warehouse'!$F$662:$O$662</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warehouse'!$F$685:$O$685</c15:sqref>
                        </c15:formulaRef>
                      </c:ext>
                    </c:extLst>
                    <c:numCache>
                      <c:formatCode>0%</c:formatCode>
                      <c:ptCount val="10"/>
                      <c:pt idx="0">
                        <c:v>0.96551724137931039</c:v>
                      </c:pt>
                      <c:pt idx="1">
                        <c:v>0.96666666666666667</c:v>
                      </c:pt>
                      <c:pt idx="2">
                        <c:v>0.96551724137931039</c:v>
                      </c:pt>
                      <c:pt idx="3">
                        <c:v>0.93548387096774188</c:v>
                      </c:pt>
                      <c:pt idx="4">
                        <c:v>0.90322580645161288</c:v>
                      </c:pt>
                      <c:pt idx="5">
                        <c:v>0.9</c:v>
                      </c:pt>
                      <c:pt idx="6">
                        <c:v>0.92900000000000005</c:v>
                      </c:pt>
                      <c:pt idx="7">
                        <c:v>0.97099999999999997</c:v>
                      </c:pt>
                      <c:pt idx="8">
                        <c:v>0.93300000000000005</c:v>
                      </c:pt>
                      <c:pt idx="9">
                        <c:v>0.93300000000000005</c:v>
                      </c:pt>
                    </c:numCache>
                  </c:numRef>
                </c:val>
                <c:smooth val="0"/>
                <c:extLst xmlns:c15="http://schemas.microsoft.com/office/drawing/2012/chart">
                  <c:ext xmlns:c16="http://schemas.microsoft.com/office/drawing/2014/chart" uri="{C3380CC4-5D6E-409C-BE32-E72D297353CC}">
                    <c16:uniqueId val="{00000015-FABC-4088-8A46-4C103AFED87B}"/>
                  </c:ext>
                </c:extLst>
              </c15:ser>
            </c15:filteredLineSeries>
          </c:ext>
        </c:extLst>
      </c:lineChart>
      <c:catAx>
        <c:axId val="538082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538075440"/>
        <c:crosses val="autoZero"/>
        <c:auto val="1"/>
        <c:lblAlgn val="ctr"/>
        <c:lblOffset val="100"/>
        <c:noMultiLvlLbl val="0"/>
      </c:catAx>
      <c:valAx>
        <c:axId val="538075440"/>
        <c:scaling>
          <c:orientation val="minMax"/>
          <c:max val="1"/>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538082928"/>
        <c:crosses val="autoZero"/>
        <c:crossBetween val="between"/>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Nova" panose="020B0504020202020204" pitchFamily="34" charset="0"/>
                <a:ea typeface="+mn-ea"/>
                <a:cs typeface="Arial" panose="020B0604020202020204" pitchFamily="34" charset="0"/>
              </a:defRPr>
            </a:pPr>
            <a:r>
              <a:rPr lang="en-GB" sz="1100" b="1">
                <a:latin typeface="Arial Nova" panose="020B0504020202020204" pitchFamily="34" charset="0"/>
                <a:cs typeface="Arial" panose="020B0604020202020204" pitchFamily="34" charset="0"/>
              </a:rPr>
              <a:t>Hand Hygiene Competencies</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Nova" panose="020B05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2.3863759626857578E-2"/>
          <c:y val="0.1535008976660682"/>
          <c:w val="0.9522724807462849"/>
          <c:h val="0.70721148635594699"/>
        </c:manualLayout>
      </c:layout>
      <c:barChart>
        <c:barDir val="col"/>
        <c:grouping val="clustered"/>
        <c:varyColors val="0"/>
        <c:ser>
          <c:idx val="8"/>
          <c:order val="8"/>
          <c:tx>
            <c:strRef>
              <c:f>'IPC Training '!$D$12</c:f>
              <c:strCache>
                <c:ptCount val="1"/>
                <c:pt idx="0">
                  <c:v>Hand Hygiene</c:v>
                </c:pt>
              </c:strCache>
            </c:strRef>
          </c:tx>
          <c:spPr>
            <a:solidFill>
              <a:schemeClr val="accent3">
                <a:lumMod val="60000"/>
              </a:schemeClr>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CA1D-43F7-96C5-1A246EC8FE63}"/>
              </c:ext>
            </c:extLst>
          </c:dPt>
          <c:dPt>
            <c:idx val="1"/>
            <c:invertIfNegative val="0"/>
            <c:bubble3D val="0"/>
            <c:spPr>
              <a:solidFill>
                <a:srgbClr val="FF0000"/>
              </a:solidFill>
              <a:ln>
                <a:noFill/>
              </a:ln>
              <a:effectLst/>
            </c:spPr>
            <c:extLst>
              <c:ext xmlns:c16="http://schemas.microsoft.com/office/drawing/2014/chart" uri="{C3380CC4-5D6E-409C-BE32-E72D297353CC}">
                <c16:uniqueId val="{00000003-CA1D-43F7-96C5-1A246EC8FE63}"/>
              </c:ext>
            </c:extLst>
          </c:dPt>
          <c:dPt>
            <c:idx val="2"/>
            <c:invertIfNegative val="0"/>
            <c:bubble3D val="0"/>
            <c:spPr>
              <a:solidFill>
                <a:srgbClr val="FFC000"/>
              </a:solidFill>
              <a:ln>
                <a:noFill/>
              </a:ln>
              <a:effectLst/>
            </c:spPr>
            <c:extLst>
              <c:ext xmlns:c16="http://schemas.microsoft.com/office/drawing/2014/chart" uri="{C3380CC4-5D6E-409C-BE32-E72D297353CC}">
                <c16:uniqueId val="{00000005-CA1D-43F7-96C5-1A246EC8FE63}"/>
              </c:ext>
            </c:extLst>
          </c:dPt>
          <c:dPt>
            <c:idx val="3"/>
            <c:invertIfNegative val="0"/>
            <c:bubble3D val="0"/>
            <c:spPr>
              <a:solidFill>
                <a:srgbClr val="00B050"/>
              </a:solidFill>
              <a:ln>
                <a:noFill/>
              </a:ln>
              <a:effectLst/>
            </c:spPr>
            <c:extLst>
              <c:ext xmlns:c16="http://schemas.microsoft.com/office/drawing/2014/chart" uri="{C3380CC4-5D6E-409C-BE32-E72D297353CC}">
                <c16:uniqueId val="{00000007-CA1D-43F7-96C5-1A246EC8FE63}"/>
              </c:ext>
            </c:extLst>
          </c:dPt>
          <c:dPt>
            <c:idx val="4"/>
            <c:invertIfNegative val="0"/>
            <c:bubble3D val="0"/>
            <c:spPr>
              <a:solidFill>
                <a:srgbClr val="00B050"/>
              </a:solidFill>
              <a:ln>
                <a:noFill/>
              </a:ln>
              <a:effectLst/>
            </c:spPr>
            <c:extLst>
              <c:ext xmlns:c16="http://schemas.microsoft.com/office/drawing/2014/chart" uri="{C3380CC4-5D6E-409C-BE32-E72D297353CC}">
                <c16:uniqueId val="{00000009-CA1D-43F7-96C5-1A246EC8FE63}"/>
              </c:ext>
            </c:extLst>
          </c:dPt>
          <c:dPt>
            <c:idx val="5"/>
            <c:invertIfNegative val="0"/>
            <c:bubble3D val="0"/>
            <c:spPr>
              <a:solidFill>
                <a:srgbClr val="00B050"/>
              </a:solidFill>
              <a:ln>
                <a:noFill/>
              </a:ln>
              <a:effectLst/>
            </c:spPr>
            <c:extLst>
              <c:ext xmlns:c16="http://schemas.microsoft.com/office/drawing/2014/chart" uri="{C3380CC4-5D6E-409C-BE32-E72D297353CC}">
                <c16:uniqueId val="{0000000B-CA1D-43F7-96C5-1A246EC8FE63}"/>
              </c:ext>
            </c:extLst>
          </c:dPt>
          <c:dPt>
            <c:idx val="6"/>
            <c:invertIfNegative val="0"/>
            <c:bubble3D val="0"/>
            <c:spPr>
              <a:solidFill>
                <a:srgbClr val="00B050"/>
              </a:solidFill>
              <a:ln>
                <a:noFill/>
              </a:ln>
              <a:effectLst/>
            </c:spPr>
            <c:extLst>
              <c:ext xmlns:c16="http://schemas.microsoft.com/office/drawing/2014/chart" uri="{C3380CC4-5D6E-409C-BE32-E72D297353CC}">
                <c16:uniqueId val="{0000000D-CA1D-43F7-96C5-1A246EC8FE63}"/>
              </c:ext>
            </c:extLst>
          </c:dPt>
          <c:dPt>
            <c:idx val="7"/>
            <c:invertIfNegative val="0"/>
            <c:bubble3D val="0"/>
            <c:spPr>
              <a:solidFill>
                <a:srgbClr val="00B050"/>
              </a:solidFill>
              <a:ln>
                <a:noFill/>
              </a:ln>
              <a:effectLst/>
            </c:spPr>
            <c:extLst>
              <c:ext xmlns:c16="http://schemas.microsoft.com/office/drawing/2014/chart" uri="{C3380CC4-5D6E-409C-BE32-E72D297353CC}">
                <c16:uniqueId val="{0000000F-CA1D-43F7-96C5-1A246EC8FE63}"/>
              </c:ext>
            </c:extLst>
          </c:dPt>
          <c:dPt>
            <c:idx val="8"/>
            <c:invertIfNegative val="0"/>
            <c:bubble3D val="0"/>
            <c:spPr>
              <a:solidFill>
                <a:srgbClr val="00B050"/>
              </a:solidFill>
              <a:ln>
                <a:noFill/>
              </a:ln>
              <a:effectLst/>
            </c:spPr>
            <c:extLst>
              <c:ext xmlns:c16="http://schemas.microsoft.com/office/drawing/2014/chart" uri="{C3380CC4-5D6E-409C-BE32-E72D297353CC}">
                <c16:uniqueId val="{00000011-CA1D-43F7-96C5-1A246EC8FE63}"/>
              </c:ext>
            </c:extLst>
          </c:dPt>
          <c:dPt>
            <c:idx val="9"/>
            <c:invertIfNegative val="0"/>
            <c:bubble3D val="0"/>
            <c:spPr>
              <a:solidFill>
                <a:srgbClr val="00B050"/>
              </a:solidFill>
              <a:ln>
                <a:noFill/>
              </a:ln>
              <a:effectLst/>
            </c:spPr>
            <c:extLst>
              <c:ext xmlns:c16="http://schemas.microsoft.com/office/drawing/2014/chart" uri="{C3380CC4-5D6E-409C-BE32-E72D297353CC}">
                <c16:uniqueId val="{00000013-CA1D-43F7-96C5-1A246EC8FE63}"/>
              </c:ext>
            </c:extLst>
          </c:dPt>
          <c:dPt>
            <c:idx val="10"/>
            <c:invertIfNegative val="0"/>
            <c:bubble3D val="0"/>
            <c:spPr>
              <a:solidFill>
                <a:srgbClr val="00B050"/>
              </a:solidFill>
              <a:ln>
                <a:noFill/>
              </a:ln>
              <a:effectLst/>
            </c:spPr>
            <c:extLst>
              <c:ext xmlns:c16="http://schemas.microsoft.com/office/drawing/2014/chart" uri="{C3380CC4-5D6E-409C-BE32-E72D297353CC}">
                <c16:uniqueId val="{00000015-CA1D-43F7-96C5-1A246EC8FE63}"/>
              </c:ext>
            </c:extLst>
          </c:dPt>
          <c:dPt>
            <c:idx val="11"/>
            <c:invertIfNegative val="0"/>
            <c:bubble3D val="0"/>
            <c:spPr>
              <a:solidFill>
                <a:srgbClr val="00B050"/>
              </a:solidFill>
              <a:ln>
                <a:noFill/>
              </a:ln>
              <a:effectLst/>
            </c:spPr>
            <c:extLst>
              <c:ext xmlns:c16="http://schemas.microsoft.com/office/drawing/2014/chart" uri="{C3380CC4-5D6E-409C-BE32-E72D297353CC}">
                <c16:uniqueId val="{00000017-CA1D-43F7-96C5-1A246EC8FE6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Nova" panose="020B0504020202020204" pitchFamily="34" charset="0"/>
                    <a:ea typeface="+mn-ea"/>
                    <a:cs typeface="+mn-cs"/>
                  </a:defRPr>
                </a:pPr>
                <a:endParaRPr lang="en-US"/>
              </a:p>
            </c:txPr>
            <c:dLblPos val="inBase"/>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tailEnd w="med" len="lg"/>
              </a:ln>
              <a:effectLst/>
            </c:spPr>
            <c:trendlineType val="movingAvg"/>
            <c:period val="2"/>
            <c:dispRSqr val="0"/>
            <c:dispEq val="0"/>
          </c:trendline>
          <c:cat>
            <c:numRef>
              <c:f>'IPC Training '!$E$3:$P$3</c:f>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f>'IPC Training '!$E$12:$P$12</c:f>
              <c:numCache>
                <c:formatCode>0%</c:formatCode>
                <c:ptCount val="12"/>
                <c:pt idx="0">
                  <c:v>0.68366961129718562</c:v>
                </c:pt>
                <c:pt idx="1">
                  <c:v>0.74501161126964566</c:v>
                </c:pt>
                <c:pt idx="2">
                  <c:v>0.81929328412121483</c:v>
                </c:pt>
                <c:pt idx="3">
                  <c:v>0.95426359000451244</c:v>
                </c:pt>
                <c:pt idx="4">
                  <c:v>0.96118644480492965</c:v>
                </c:pt>
                <c:pt idx="5">
                  <c:v>0.9719388317208143</c:v>
                </c:pt>
                <c:pt idx="6">
                  <c:v>0.97004592307969417</c:v>
                </c:pt>
                <c:pt idx="7">
                  <c:v>0.9809545454545453</c:v>
                </c:pt>
                <c:pt idx="8">
                  <c:v>0.98249999999999993</c:v>
                </c:pt>
                <c:pt idx="9">
                  <c:v>0.9785454545454545</c:v>
                </c:pt>
                <c:pt idx="10">
                  <c:v>0.96990909090909083</c:v>
                </c:pt>
                <c:pt idx="11">
                  <c:v>0.96990909090909083</c:v>
                </c:pt>
              </c:numCache>
              <c:extLst/>
            </c:numRef>
          </c:val>
          <c:extLst xmlns:c15="http://schemas.microsoft.com/office/drawing/2012/chart">
            <c:ext xmlns:c16="http://schemas.microsoft.com/office/drawing/2014/chart" uri="{C3380CC4-5D6E-409C-BE32-E72D297353CC}">
              <c16:uniqueId val="{00000018-CA1D-43F7-96C5-1A246EC8FE63}"/>
            </c:ext>
          </c:extLst>
        </c:ser>
        <c:dLbls>
          <c:showLegendKey val="0"/>
          <c:showVal val="0"/>
          <c:showCatName val="0"/>
          <c:showSerName val="0"/>
          <c:showPercent val="0"/>
          <c:showBubbleSize val="0"/>
        </c:dLbls>
        <c:gapWidth val="50"/>
        <c:axId val="1430002272"/>
        <c:axId val="1430003936"/>
        <c:extLst>
          <c:ext xmlns:c15="http://schemas.microsoft.com/office/drawing/2012/chart" uri="{02D57815-91ED-43cb-92C2-25804820EDAC}">
            <c15:filteredBarSeries>
              <c15:ser>
                <c:idx val="0"/>
                <c:order val="0"/>
                <c:tx>
                  <c:strRef>
                    <c:extLst>
                      <c:ext uri="{02D57815-91ED-43cb-92C2-25804820EDAC}">
                        <c15:formulaRef>
                          <c15:sqref>'IPC Training '!$D$4</c15:sqref>
                        </c15:formulaRef>
                      </c:ext>
                    </c:extLst>
                    <c:strCache>
                      <c:ptCount val="1"/>
                      <c:pt idx="0">
                        <c:v>Infection Control Training - Clinical Staff</c:v>
                      </c:pt>
                    </c:strCache>
                  </c:strRef>
                </c:tx>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1A-CA1D-43F7-96C5-1A246EC8FE63}"/>
                    </c:ext>
                  </c:extLst>
                </c:dPt>
                <c:dPt>
                  <c:idx val="1"/>
                  <c:invertIfNegative val="0"/>
                  <c:bubble3D val="0"/>
                  <c:spPr>
                    <a:solidFill>
                      <a:srgbClr val="92D050"/>
                    </a:solidFill>
                    <a:ln>
                      <a:noFill/>
                    </a:ln>
                    <a:effectLst/>
                  </c:spPr>
                  <c:extLst>
                    <c:ext xmlns:c16="http://schemas.microsoft.com/office/drawing/2014/chart" uri="{C3380CC4-5D6E-409C-BE32-E72D297353CC}">
                      <c16:uniqueId val="{0000001C-CA1D-43F7-96C5-1A246EC8FE63}"/>
                    </c:ext>
                  </c:extLst>
                </c:dPt>
                <c:dPt>
                  <c:idx val="2"/>
                  <c:invertIfNegative val="0"/>
                  <c:bubble3D val="0"/>
                  <c:spPr>
                    <a:solidFill>
                      <a:srgbClr val="92D050"/>
                    </a:solidFill>
                    <a:ln>
                      <a:noFill/>
                    </a:ln>
                    <a:effectLst/>
                  </c:spPr>
                  <c:extLst>
                    <c:ext xmlns:c16="http://schemas.microsoft.com/office/drawing/2014/chart" uri="{C3380CC4-5D6E-409C-BE32-E72D297353CC}">
                      <c16:uniqueId val="{0000001E-CA1D-43F7-96C5-1A246EC8FE63}"/>
                    </c:ext>
                  </c:extLst>
                </c:dPt>
                <c:dPt>
                  <c:idx val="3"/>
                  <c:invertIfNegative val="0"/>
                  <c:bubble3D val="0"/>
                  <c:spPr>
                    <a:solidFill>
                      <a:srgbClr val="92D050"/>
                    </a:solidFill>
                    <a:ln>
                      <a:noFill/>
                    </a:ln>
                    <a:effectLst/>
                  </c:spPr>
                  <c:extLst>
                    <c:ext xmlns:c16="http://schemas.microsoft.com/office/drawing/2014/chart" uri="{C3380CC4-5D6E-409C-BE32-E72D297353CC}">
                      <c16:uniqueId val="{00000020-CA1D-43F7-96C5-1A246EC8FE63}"/>
                    </c:ext>
                  </c:extLst>
                </c:dPt>
                <c:dPt>
                  <c:idx val="4"/>
                  <c:invertIfNegative val="0"/>
                  <c:bubble3D val="0"/>
                  <c:spPr>
                    <a:solidFill>
                      <a:srgbClr val="92D050"/>
                    </a:solidFill>
                    <a:ln>
                      <a:noFill/>
                    </a:ln>
                    <a:effectLst/>
                  </c:spPr>
                  <c:extLst>
                    <c:ext xmlns:c16="http://schemas.microsoft.com/office/drawing/2014/chart" uri="{C3380CC4-5D6E-409C-BE32-E72D297353CC}">
                      <c16:uniqueId val="{00000022-CA1D-43F7-96C5-1A246EC8FE63}"/>
                    </c:ext>
                  </c:extLst>
                </c:dPt>
                <c:dPt>
                  <c:idx val="5"/>
                  <c:invertIfNegative val="0"/>
                  <c:bubble3D val="0"/>
                  <c:spPr>
                    <a:solidFill>
                      <a:srgbClr val="FF0000"/>
                    </a:solidFill>
                    <a:ln>
                      <a:noFill/>
                    </a:ln>
                    <a:effectLst/>
                  </c:spPr>
                  <c:extLst>
                    <c:ext xmlns:c16="http://schemas.microsoft.com/office/drawing/2014/chart" uri="{C3380CC4-5D6E-409C-BE32-E72D297353CC}">
                      <c16:uniqueId val="{00000024-CA1D-43F7-96C5-1A246EC8FE63}"/>
                    </c:ext>
                  </c:extLst>
                </c:dPt>
                <c:dPt>
                  <c:idx val="6"/>
                  <c:invertIfNegative val="0"/>
                  <c:bubble3D val="0"/>
                  <c:spPr>
                    <a:solidFill>
                      <a:srgbClr val="FF0000"/>
                    </a:solidFill>
                    <a:ln>
                      <a:noFill/>
                    </a:ln>
                    <a:effectLst/>
                  </c:spPr>
                  <c:extLst>
                    <c:ext xmlns:c16="http://schemas.microsoft.com/office/drawing/2014/chart" uri="{C3380CC4-5D6E-409C-BE32-E72D297353CC}">
                      <c16:uniqueId val="{00000026-CA1D-43F7-96C5-1A246EC8FE63}"/>
                    </c:ext>
                  </c:extLst>
                </c:dPt>
                <c:dPt>
                  <c:idx val="7"/>
                  <c:invertIfNegative val="0"/>
                  <c:bubble3D val="0"/>
                  <c:spPr>
                    <a:solidFill>
                      <a:srgbClr val="FF0000"/>
                    </a:solidFill>
                    <a:ln>
                      <a:noFill/>
                    </a:ln>
                    <a:effectLst/>
                  </c:spPr>
                  <c:extLst>
                    <c:ext xmlns:c16="http://schemas.microsoft.com/office/drawing/2014/chart" uri="{C3380CC4-5D6E-409C-BE32-E72D297353CC}">
                      <c16:uniqueId val="{00000028-CA1D-43F7-96C5-1A246EC8FE63}"/>
                    </c:ext>
                  </c:extLst>
                </c:dPt>
                <c:dPt>
                  <c:idx val="8"/>
                  <c:invertIfNegative val="0"/>
                  <c:bubble3D val="0"/>
                  <c:spPr>
                    <a:solidFill>
                      <a:srgbClr val="FF0000"/>
                    </a:solidFill>
                    <a:ln>
                      <a:noFill/>
                    </a:ln>
                    <a:effectLst/>
                  </c:spPr>
                  <c:extLst>
                    <c:ext xmlns:c16="http://schemas.microsoft.com/office/drawing/2014/chart" uri="{C3380CC4-5D6E-409C-BE32-E72D297353CC}">
                      <c16:uniqueId val="{0000002A-CA1D-43F7-96C5-1A246EC8FE63}"/>
                    </c:ext>
                  </c:extLst>
                </c:dPt>
                <c:dPt>
                  <c:idx val="9"/>
                  <c:invertIfNegative val="0"/>
                  <c:bubble3D val="0"/>
                  <c:spPr>
                    <a:solidFill>
                      <a:srgbClr val="FF0000"/>
                    </a:solidFill>
                    <a:ln>
                      <a:noFill/>
                    </a:ln>
                    <a:effectLst/>
                  </c:spPr>
                  <c:extLst>
                    <c:ext xmlns:c16="http://schemas.microsoft.com/office/drawing/2014/chart" uri="{C3380CC4-5D6E-409C-BE32-E72D297353CC}">
                      <c16:uniqueId val="{0000002C-CA1D-43F7-96C5-1A246EC8FE63}"/>
                    </c:ext>
                  </c:extLst>
                </c:dPt>
                <c:dLbls>
                  <c:spPr>
                    <a:noFill/>
                    <a:ln>
                      <a:noFill/>
                    </a:ln>
                    <a:effectLst/>
                  </c:spPr>
                  <c:txPr>
                    <a:bodyPr rot="0" spcFirstLastPara="1" vertOverflow="ellipsis" vert="horz" wrap="square" lIns="38100" tIns="19050" rIns="38100" bIns="19050" anchor="ctr" anchorCtr="1">
                      <a:spAutoFit/>
                    </a:bodyPr>
                    <a:lstStyle/>
                    <a:p>
                      <a:pPr>
                        <a:defRPr sz="3200" b="0" i="0" u="none" strike="noStrike" kern="1200" baseline="0">
                          <a:solidFill>
                            <a:schemeClr val="bg1"/>
                          </a:solidFill>
                          <a:latin typeface="Arial Nova" panose="020B0504020202020204" pitchFamily="34" charset="0"/>
                          <a:ea typeface="+mn-ea"/>
                          <a:cs typeface="+mn-cs"/>
                        </a:defRPr>
                      </a:pPr>
                      <a:endParaRPr lang="en-US"/>
                    </a:p>
                  </c:txPr>
                  <c:dLblPos val="inBase"/>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'IPC Training '!$E$3:$P$3</c15:sqref>
                        </c15:formulaRef>
                      </c:ext>
                    </c:extLst>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extLst>
                      <c:ext uri="{02D57815-91ED-43cb-92C2-25804820EDAC}">
                        <c15:formulaRef>
                          <c15:sqref>'IPC Training '!$E$4:$P$4</c15:sqref>
                        </c15:formulaRef>
                      </c:ext>
                    </c:extLst>
                    <c:numCache>
                      <c:formatCode>0%</c:formatCode>
                      <c:ptCount val="12"/>
                      <c:pt idx="0">
                        <c:v>0.95435655213819715</c:v>
                      </c:pt>
                      <c:pt idx="1">
                        <c:v>0.94783745553931009</c:v>
                      </c:pt>
                      <c:pt idx="2">
                        <c:v>0.95165931162780959</c:v>
                      </c:pt>
                      <c:pt idx="3">
                        <c:v>0.97598456093021302</c:v>
                      </c:pt>
                      <c:pt idx="4">
                        <c:v>0.96013104644649749</c:v>
                      </c:pt>
                      <c:pt idx="5">
                        <c:v>0.94027564737267266</c:v>
                      </c:pt>
                      <c:pt idx="6">
                        <c:v>0.93653637597736983</c:v>
                      </c:pt>
                      <c:pt idx="7">
                        <c:v>0.94480952380952388</c:v>
                      </c:pt>
                      <c:pt idx="8">
                        <c:v>0.95133333333333336</c:v>
                      </c:pt>
                      <c:pt idx="9">
                        <c:v>0.94371428571428562</c:v>
                      </c:pt>
                      <c:pt idx="10">
                        <c:v>0.95079999999999987</c:v>
                      </c:pt>
                      <c:pt idx="11">
                        <c:v>0.94880952380952388</c:v>
                      </c:pt>
                    </c:numCache>
                  </c:numRef>
                </c:val>
                <c:extLst>
                  <c:ext xmlns:c16="http://schemas.microsoft.com/office/drawing/2014/chart" uri="{C3380CC4-5D6E-409C-BE32-E72D297353CC}">
                    <c16:uniqueId val="{0000002D-CA1D-43F7-96C5-1A246EC8FE6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'IPC Training '!$D$5</c15:sqref>
                        </c15:formulaRef>
                      </c:ext>
                    </c:extLst>
                    <c:strCache>
                      <c:ptCount val="1"/>
                      <c:pt idx="0">
                        <c:v>Infection Control Training - Non-Clinical Staff</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'IPC Training '!$E$3:$P$3</c15:sqref>
                        </c15:formulaRef>
                      </c:ext>
                    </c:extLst>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extLst xmlns:c15="http://schemas.microsoft.com/office/drawing/2012/chart">
                      <c:ext xmlns:c15="http://schemas.microsoft.com/office/drawing/2012/chart" uri="{02D57815-91ED-43cb-92C2-25804820EDAC}">
                        <c15:formulaRef>
                          <c15:sqref>'IPC Training '!$E$5:$P$5</c15:sqref>
                        </c15:formulaRef>
                      </c:ext>
                    </c:extLst>
                    <c:numCache>
                      <c:formatCode>0%</c:formatCode>
                      <c:ptCount val="12"/>
                      <c:pt idx="0">
                        <c:v>0.98956824108953922</c:v>
                      </c:pt>
                      <c:pt idx="1">
                        <c:v>0.98640632723677701</c:v>
                      </c:pt>
                      <c:pt idx="2">
                        <c:v>0.98437792967085402</c:v>
                      </c:pt>
                      <c:pt idx="3">
                        <c:v>0.95213371459694984</c:v>
                      </c:pt>
                      <c:pt idx="4">
                        <c:v>0.94787032460042842</c:v>
                      </c:pt>
                      <c:pt idx="5">
                        <c:v>0.94166666666666665</c:v>
                      </c:pt>
                      <c:pt idx="6">
                        <c:v>0.98140151515151497</c:v>
                      </c:pt>
                      <c:pt idx="7">
                        <c:v>0.98282352941176465</c:v>
                      </c:pt>
                      <c:pt idx="8">
                        <c:v>0.9838958333333333</c:v>
                      </c:pt>
                      <c:pt idx="9">
                        <c:v>0.98350000000000004</c:v>
                      </c:pt>
                      <c:pt idx="10">
                        <c:v>0.98331250000000003</c:v>
                      </c:pt>
                      <c:pt idx="11">
                        <c:v>0.98350000000000004</c:v>
                      </c:pt>
                    </c:numCache>
                  </c:numRef>
                </c:val>
                <c:extLst xmlns:c15="http://schemas.microsoft.com/office/drawing/2012/chart">
                  <c:ext xmlns:c16="http://schemas.microsoft.com/office/drawing/2014/chart" uri="{C3380CC4-5D6E-409C-BE32-E72D297353CC}">
                    <c16:uniqueId val="{0000002E-CA1D-43F7-96C5-1A246EC8FE6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'IPC Training '!$D$6</c15:sqref>
                        </c15:formulaRef>
                      </c:ext>
                    </c:extLst>
                    <c:strCache>
                      <c:ptCount val="1"/>
                      <c:pt idx="0">
                        <c:v>Infection Control Training - Combined Staffing Groups</c:v>
                      </c:pt>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'IPC Training '!$E$3:$P$3</c15:sqref>
                        </c15:formulaRef>
                      </c:ext>
                    </c:extLst>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extLst xmlns:c15="http://schemas.microsoft.com/office/drawing/2012/chart">
                      <c:ext xmlns:c15="http://schemas.microsoft.com/office/drawing/2012/chart" uri="{02D57815-91ED-43cb-92C2-25804820EDAC}">
                        <c15:formulaRef>
                          <c15:sqref>'IPC Training '!$E$6:$P$6</c15:sqref>
                        </c15:formulaRef>
                      </c:ext>
                    </c:extLst>
                    <c:numCache>
                      <c:formatCode>0%</c:formatCode>
                      <c:ptCount val="12"/>
                      <c:pt idx="0">
                        <c:v>0.95516128126776145</c:v>
                      </c:pt>
                      <c:pt idx="1">
                        <c:v>0.94759807340947377</c:v>
                      </c:pt>
                      <c:pt idx="2">
                        <c:v>0.94945543917635644</c:v>
                      </c:pt>
                      <c:pt idx="3">
                        <c:v>0.96959006708550188</c:v>
                      </c:pt>
                      <c:pt idx="4">
                        <c:v>0.95512771398241436</c:v>
                      </c:pt>
                      <c:pt idx="5">
                        <c:v>0.94125453097561118</c:v>
                      </c:pt>
                      <c:pt idx="6">
                        <c:v>0.93531401537296299</c:v>
                      </c:pt>
                      <c:pt idx="7">
                        <c:v>0.94400000000000006</c:v>
                      </c:pt>
                      <c:pt idx="8">
                        <c:v>0.94904545454545441</c:v>
                      </c:pt>
                      <c:pt idx="9">
                        <c:v>0.9452272727272728</c:v>
                      </c:pt>
                      <c:pt idx="10">
                        <c:v>0.97490476190476205</c:v>
                      </c:pt>
                      <c:pt idx="11">
                        <c:v>0.94763636363636372</c:v>
                      </c:pt>
                    </c:numCache>
                  </c:numRef>
                </c:val>
                <c:extLst xmlns:c15="http://schemas.microsoft.com/office/drawing/2012/chart">
                  <c:ext xmlns:c16="http://schemas.microsoft.com/office/drawing/2014/chart" uri="{C3380CC4-5D6E-409C-BE32-E72D297353CC}">
                    <c16:uniqueId val="{0000002F-CA1D-43F7-96C5-1A246EC8FE6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'IPC Training '!$D$7</c15:sqref>
                        </c15:formulaRef>
                      </c:ext>
                    </c:extLst>
                    <c:strCache>
                      <c:ptCount val="1"/>
                      <c:pt idx="0">
                        <c:v>Cleaning For Confidence - An Introduction</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'IPC Training '!$E$3:$P$3</c15:sqref>
                        </c15:formulaRef>
                      </c:ext>
                    </c:extLst>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extLst xmlns:c15="http://schemas.microsoft.com/office/drawing/2012/chart">
                      <c:ext xmlns:c15="http://schemas.microsoft.com/office/drawing/2012/chart" uri="{02D57815-91ED-43cb-92C2-25804820EDAC}">
                        <c15:formulaRef>
                          <c15:sqref>'IPC Training '!$E$7:$P$7</c15:sqref>
                        </c15:formulaRef>
                      </c:ext>
                    </c:extLst>
                    <c:numCache>
                      <c:formatCode>0%</c:formatCode>
                      <c:ptCount val="12"/>
                      <c:pt idx="0">
                        <c:v>0.93402263790689855</c:v>
                      </c:pt>
                      <c:pt idx="1">
                        <c:v>0.96358319417075122</c:v>
                      </c:pt>
                      <c:pt idx="2">
                        <c:v>0.9674329190444394</c:v>
                      </c:pt>
                      <c:pt idx="3">
                        <c:v>0.96810957951275645</c:v>
                      </c:pt>
                      <c:pt idx="4">
                        <c:v>0.96954386290665528</c:v>
                      </c:pt>
                      <c:pt idx="5">
                        <c:v>0.96543643329294881</c:v>
                      </c:pt>
                      <c:pt idx="6">
                        <c:v>0.96645975815885576</c:v>
                      </c:pt>
                      <c:pt idx="7">
                        <c:v>0.96988811188811186</c:v>
                      </c:pt>
                      <c:pt idx="8">
                        <c:v>0.97861904761904739</c:v>
                      </c:pt>
                      <c:pt idx="9">
                        <c:v>0</c:v>
                      </c:pt>
                      <c:pt idx="10">
                        <c:v>0.96500000000000008</c:v>
                      </c:pt>
                      <c:pt idx="11">
                        <c:v>0.96047619047619059</c:v>
                      </c:pt>
                    </c:numCache>
                  </c:numRef>
                </c:val>
                <c:extLst xmlns:c15="http://schemas.microsoft.com/office/drawing/2012/chart">
                  <c:ext xmlns:c16="http://schemas.microsoft.com/office/drawing/2014/chart" uri="{C3380CC4-5D6E-409C-BE32-E72D297353CC}">
                    <c16:uniqueId val="{00000030-CA1D-43F7-96C5-1A246EC8FE63}"/>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'IPC Training '!$D$8</c15:sqref>
                        </c15:formulaRef>
                      </c:ext>
                    </c:extLst>
                    <c:strCache>
                      <c:ptCount val="1"/>
                      <c:pt idx="0">
                        <c:v>Cleaning For Confidence - Intensive Care Units </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'IPC Training '!$E$3:$P$3</c15:sqref>
                        </c15:formulaRef>
                      </c:ext>
                    </c:extLst>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extLst xmlns:c15="http://schemas.microsoft.com/office/drawing/2012/chart">
                      <c:ext xmlns:c15="http://schemas.microsoft.com/office/drawing/2012/chart" uri="{02D57815-91ED-43cb-92C2-25804820EDAC}">
                        <c15:formulaRef>
                          <c15:sqref>'IPC Training '!$E$8:$P$8</c15:sqref>
                        </c15:formulaRef>
                      </c:ext>
                    </c:extLst>
                    <c:numCache>
                      <c:formatCode>0%</c:formatCode>
                      <c:ptCount val="12"/>
                      <c:pt idx="0">
                        <c:v>0.93402263790689855</c:v>
                      </c:pt>
                      <c:pt idx="1">
                        <c:v>0.93904761904761902</c:v>
                      </c:pt>
                      <c:pt idx="2">
                        <c:v>0.93761022927689597</c:v>
                      </c:pt>
                      <c:pt idx="3">
                        <c:v>0.98412698412698418</c:v>
                      </c:pt>
                      <c:pt idx="4">
                        <c:v>0.98373983739837401</c:v>
                      </c:pt>
                      <c:pt idx="5">
                        <c:v>0.99145299145299148</c:v>
                      </c:pt>
                      <c:pt idx="6">
                        <c:v>0.97048772910841885</c:v>
                      </c:pt>
                      <c:pt idx="7">
                        <c:v>0.96176190476190471</c:v>
                      </c:pt>
                      <c:pt idx="8">
                        <c:v>0.98733333333333329</c:v>
                      </c:pt>
                      <c:pt idx="9">
                        <c:v>0.96966666666666657</c:v>
                      </c:pt>
                      <c:pt idx="10">
                        <c:v>0.95466666666666666</c:v>
                      </c:pt>
                      <c:pt idx="11">
                        <c:v>0.95466666666666666</c:v>
                      </c:pt>
                    </c:numCache>
                  </c:numRef>
                </c:val>
                <c:extLst xmlns:c15="http://schemas.microsoft.com/office/drawing/2012/chart">
                  <c:ext xmlns:c16="http://schemas.microsoft.com/office/drawing/2014/chart" uri="{C3380CC4-5D6E-409C-BE32-E72D297353CC}">
                    <c16:uniqueId val="{00000031-CA1D-43F7-96C5-1A246EC8FE63}"/>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'IPC Training '!$D$9</c15:sqref>
                        </c15:formulaRef>
                      </c:ext>
                    </c:extLst>
                    <c:strCache>
                      <c:ptCount val="1"/>
                      <c:pt idx="0">
                        <c:v>Aseptic Non-Touch Technique</c:v>
                      </c:pt>
                    </c:strCache>
                  </c:strRef>
                </c:tx>
                <c:spPr>
                  <a:solidFill>
                    <a:schemeClr val="accent6"/>
                  </a:solidFill>
                  <a:ln>
                    <a:noFill/>
                  </a:ln>
                  <a:effectLst/>
                </c:spPr>
                <c:invertIfNegative val="0"/>
                <c:dPt>
                  <c:idx val="0"/>
                  <c:invertIfNegative val="0"/>
                  <c:bubble3D val="0"/>
                  <c:spPr>
                    <a:solidFill>
                      <a:srgbClr val="FFC715"/>
                    </a:solidFill>
                    <a:ln>
                      <a:noFill/>
                    </a:ln>
                    <a:effectLst/>
                  </c:spPr>
                  <c:extLst xmlns:c15="http://schemas.microsoft.com/office/drawing/2012/chart">
                    <c:ext xmlns:c16="http://schemas.microsoft.com/office/drawing/2014/chart" uri="{C3380CC4-5D6E-409C-BE32-E72D297353CC}">
                      <c16:uniqueId val="{00000033-CA1D-43F7-96C5-1A246EC8FE63}"/>
                    </c:ext>
                  </c:extLst>
                </c:dPt>
                <c:dPt>
                  <c:idx val="1"/>
                  <c:invertIfNegative val="0"/>
                  <c:bubble3D val="0"/>
                  <c:spPr>
                    <a:solidFill>
                      <a:srgbClr val="FFC000"/>
                    </a:solidFill>
                    <a:ln>
                      <a:noFill/>
                    </a:ln>
                    <a:effectLst/>
                  </c:spPr>
                  <c:extLst xmlns:c15="http://schemas.microsoft.com/office/drawing/2012/chart">
                    <c:ext xmlns:c16="http://schemas.microsoft.com/office/drawing/2014/chart" uri="{C3380CC4-5D6E-409C-BE32-E72D297353CC}">
                      <c16:uniqueId val="{00000035-CA1D-43F7-96C5-1A246EC8FE63}"/>
                    </c:ext>
                  </c:extLst>
                </c:dPt>
                <c:dPt>
                  <c:idx val="2"/>
                  <c:invertIfNegative val="0"/>
                  <c:bubble3D val="0"/>
                  <c:spPr>
                    <a:solidFill>
                      <a:srgbClr val="FFC715"/>
                    </a:solidFill>
                    <a:ln>
                      <a:noFill/>
                    </a:ln>
                    <a:effectLst/>
                  </c:spPr>
                  <c:extLst xmlns:c15="http://schemas.microsoft.com/office/drawing/2012/chart">
                    <c:ext xmlns:c16="http://schemas.microsoft.com/office/drawing/2014/chart" uri="{C3380CC4-5D6E-409C-BE32-E72D297353CC}">
                      <c16:uniqueId val="{00000037-CA1D-43F7-96C5-1A246EC8FE63}"/>
                    </c:ext>
                  </c:extLst>
                </c:dPt>
                <c:dPt>
                  <c:idx val="3"/>
                  <c:invertIfNegative val="0"/>
                  <c:bubble3D val="0"/>
                  <c:spPr>
                    <a:solidFill>
                      <a:srgbClr val="92D050"/>
                    </a:solidFill>
                    <a:ln>
                      <a:noFill/>
                    </a:ln>
                    <a:effectLst/>
                  </c:spPr>
                  <c:extLst xmlns:c15="http://schemas.microsoft.com/office/drawing/2012/chart">
                    <c:ext xmlns:c16="http://schemas.microsoft.com/office/drawing/2014/chart" uri="{C3380CC4-5D6E-409C-BE32-E72D297353CC}">
                      <c16:uniqueId val="{00000039-CA1D-43F7-96C5-1A246EC8FE63}"/>
                    </c:ext>
                  </c:extLst>
                </c:dPt>
                <c:dPt>
                  <c:idx val="4"/>
                  <c:invertIfNegative val="0"/>
                  <c:bubble3D val="0"/>
                  <c:spPr>
                    <a:solidFill>
                      <a:srgbClr val="92D050"/>
                    </a:solidFill>
                    <a:ln>
                      <a:noFill/>
                    </a:ln>
                    <a:effectLst/>
                  </c:spPr>
                  <c:extLst xmlns:c15="http://schemas.microsoft.com/office/drawing/2012/chart">
                    <c:ext xmlns:c16="http://schemas.microsoft.com/office/drawing/2014/chart" uri="{C3380CC4-5D6E-409C-BE32-E72D297353CC}">
                      <c16:uniqueId val="{0000003B-CA1D-43F7-96C5-1A246EC8FE63}"/>
                    </c:ext>
                  </c:extLst>
                </c:dPt>
                <c:dPt>
                  <c:idx val="5"/>
                  <c:invertIfNegative val="0"/>
                  <c:bubble3D val="0"/>
                  <c:spPr>
                    <a:solidFill>
                      <a:srgbClr val="92D050"/>
                    </a:solidFill>
                    <a:ln>
                      <a:noFill/>
                    </a:ln>
                    <a:effectLst/>
                  </c:spPr>
                  <c:extLst xmlns:c15="http://schemas.microsoft.com/office/drawing/2012/chart">
                    <c:ext xmlns:c16="http://schemas.microsoft.com/office/drawing/2014/chart" uri="{C3380CC4-5D6E-409C-BE32-E72D297353CC}">
                      <c16:uniqueId val="{0000003D-CA1D-43F7-96C5-1A246EC8FE63}"/>
                    </c:ext>
                  </c:extLst>
                </c:dPt>
                <c:dPt>
                  <c:idx val="6"/>
                  <c:invertIfNegative val="0"/>
                  <c:bubble3D val="0"/>
                  <c:spPr>
                    <a:solidFill>
                      <a:srgbClr val="92D050"/>
                    </a:solidFill>
                    <a:ln>
                      <a:noFill/>
                    </a:ln>
                    <a:effectLst/>
                  </c:spPr>
                  <c:extLst xmlns:c15="http://schemas.microsoft.com/office/drawing/2012/chart">
                    <c:ext xmlns:c16="http://schemas.microsoft.com/office/drawing/2014/chart" uri="{C3380CC4-5D6E-409C-BE32-E72D297353CC}">
                      <c16:uniqueId val="{0000003F-CA1D-43F7-96C5-1A246EC8FE63}"/>
                    </c:ext>
                  </c:extLst>
                </c:dPt>
                <c:dPt>
                  <c:idx val="7"/>
                  <c:invertIfNegative val="0"/>
                  <c:bubble3D val="0"/>
                  <c:spPr>
                    <a:solidFill>
                      <a:srgbClr val="92D050"/>
                    </a:solidFill>
                    <a:ln>
                      <a:noFill/>
                    </a:ln>
                    <a:effectLst/>
                  </c:spPr>
                  <c:extLst xmlns:c15="http://schemas.microsoft.com/office/drawing/2012/chart">
                    <c:ext xmlns:c16="http://schemas.microsoft.com/office/drawing/2014/chart" uri="{C3380CC4-5D6E-409C-BE32-E72D297353CC}">
                      <c16:uniqueId val="{00000041-CA1D-43F7-96C5-1A246EC8FE63}"/>
                    </c:ext>
                  </c:extLst>
                </c:dPt>
                <c:dPt>
                  <c:idx val="8"/>
                  <c:invertIfNegative val="0"/>
                  <c:bubble3D val="0"/>
                  <c:spPr>
                    <a:solidFill>
                      <a:srgbClr val="92D050"/>
                    </a:solidFill>
                    <a:ln>
                      <a:noFill/>
                    </a:ln>
                    <a:effectLst/>
                  </c:spPr>
                  <c:extLst xmlns:c15="http://schemas.microsoft.com/office/drawing/2012/chart">
                    <c:ext xmlns:c16="http://schemas.microsoft.com/office/drawing/2014/chart" uri="{C3380CC4-5D6E-409C-BE32-E72D297353CC}">
                      <c16:uniqueId val="{00000043-CA1D-43F7-96C5-1A246EC8FE63}"/>
                    </c:ext>
                  </c:extLst>
                </c:dPt>
                <c:dPt>
                  <c:idx val="9"/>
                  <c:invertIfNegative val="0"/>
                  <c:bubble3D val="0"/>
                  <c:spPr>
                    <a:solidFill>
                      <a:srgbClr val="FFC000"/>
                    </a:solidFill>
                    <a:ln>
                      <a:noFill/>
                    </a:ln>
                    <a:effectLst/>
                  </c:spPr>
                  <c:extLst xmlns:c15="http://schemas.microsoft.com/office/drawing/2012/chart">
                    <c:ext xmlns:c16="http://schemas.microsoft.com/office/drawing/2014/chart" uri="{C3380CC4-5D6E-409C-BE32-E72D297353CC}">
                      <c16:uniqueId val="{00000045-CA1D-43F7-96C5-1A246EC8FE63}"/>
                    </c:ext>
                  </c:extLst>
                </c:dPt>
                <c:dLbls>
                  <c:spPr>
                    <a:noFill/>
                    <a:ln>
                      <a:noFill/>
                    </a:ln>
                    <a:effectLst/>
                  </c:spPr>
                  <c:txPr>
                    <a:bodyPr rot="0" spcFirstLastPara="1" vertOverflow="ellipsis" vert="horz" wrap="square" lIns="38100" tIns="19050" rIns="38100" bIns="19050" anchor="ctr" anchorCtr="1">
                      <a:spAutoFit/>
                    </a:bodyPr>
                    <a:lstStyle/>
                    <a:p>
                      <a:pPr>
                        <a:defRPr sz="3200" b="0" i="0" u="none" strike="noStrike" kern="1200" baseline="0">
                          <a:solidFill>
                            <a:schemeClr val="bg1"/>
                          </a:solidFill>
                          <a:latin typeface="Arial Nova"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'IPC Training '!$E$3:$P$3</c15:sqref>
                        </c15:formulaRef>
                      </c:ext>
                    </c:extLst>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extLst xmlns:c15="http://schemas.microsoft.com/office/drawing/2012/chart">
                      <c:ext xmlns:c15="http://schemas.microsoft.com/office/drawing/2012/chart" uri="{02D57815-91ED-43cb-92C2-25804820EDAC}">
                        <c15:formulaRef>
                          <c15:sqref>'IPC Training '!$E$9:$P$9</c15:sqref>
                        </c15:formulaRef>
                      </c:ext>
                    </c:extLst>
                    <c:numCache>
                      <c:formatCode>0%</c:formatCode>
                      <c:ptCount val="12"/>
                      <c:pt idx="0">
                        <c:v>0.67621894075239108</c:v>
                      </c:pt>
                      <c:pt idx="1">
                        <c:v>0.85216688045551237</c:v>
                      </c:pt>
                      <c:pt idx="2">
                        <c:v>0.89786190268192623</c:v>
                      </c:pt>
                      <c:pt idx="3">
                        <c:v>0.96740049704644504</c:v>
                      </c:pt>
                      <c:pt idx="4">
                        <c:v>0.97479652031063324</c:v>
                      </c:pt>
                      <c:pt idx="5">
                        <c:v>0.98110037132562167</c:v>
                      </c:pt>
                      <c:pt idx="6">
                        <c:v>0.98115738727232982</c:v>
                      </c:pt>
                      <c:pt idx="7">
                        <c:v>0.98306666666666653</c:v>
                      </c:pt>
                      <c:pt idx="8">
                        <c:v>0.98359999999999992</c:v>
                      </c:pt>
                      <c:pt idx="9">
                        <c:v>0.97966666666666669</c:v>
                      </c:pt>
                      <c:pt idx="10">
                        <c:v>0.95946666666666647</c:v>
                      </c:pt>
                      <c:pt idx="11">
                        <c:v>0.97340000000000004</c:v>
                      </c:pt>
                    </c:numCache>
                  </c:numRef>
                </c:val>
                <c:extLst xmlns:c15="http://schemas.microsoft.com/office/drawing/2012/chart">
                  <c:ext xmlns:c16="http://schemas.microsoft.com/office/drawing/2014/chart" uri="{C3380CC4-5D6E-409C-BE32-E72D297353CC}">
                    <c16:uniqueId val="{00000046-CA1D-43F7-96C5-1A246EC8FE63}"/>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'IPC Training '!$D$10</c15:sqref>
                        </c15:formulaRef>
                      </c:ext>
                    </c:extLst>
                    <c:strCache>
                      <c:ptCount val="1"/>
                      <c:pt idx="0">
                        <c:v>Aseptic Non-Touch Technique Medical Staff</c:v>
                      </c:pt>
                    </c:strCache>
                  </c:strRef>
                </c:tx>
                <c:spPr>
                  <a:solidFill>
                    <a:schemeClr val="accent1">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'IPC Training '!$E$3:$P$3</c15:sqref>
                        </c15:formulaRef>
                      </c:ext>
                    </c:extLst>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extLst xmlns:c15="http://schemas.microsoft.com/office/drawing/2012/chart">
                      <c:ext xmlns:c15="http://schemas.microsoft.com/office/drawing/2012/chart" uri="{02D57815-91ED-43cb-92C2-25804820EDAC}">
                        <c15:formulaRef>
                          <c15:sqref>'IPC Training '!$E$10:$P$10</c15:sqref>
                        </c15:formulaRef>
                      </c:ext>
                    </c:extLst>
                    <c:numCache>
                      <c:formatCode>0%</c:formatCode>
                      <c:ptCount val="12"/>
                      <c:pt idx="0">
                        <c:v>0.2</c:v>
                      </c:pt>
                      <c:pt idx="1">
                        <c:v>0.2</c:v>
                      </c:pt>
                      <c:pt idx="2">
                        <c:v>0.2</c:v>
                      </c:pt>
                      <c:pt idx="3">
                        <c:v>0.6</c:v>
                      </c:pt>
                      <c:pt idx="4">
                        <c:v>0.66666666666666663</c:v>
                      </c:pt>
                      <c:pt idx="5">
                        <c:v>1</c:v>
                      </c:pt>
                      <c:pt idx="6">
                        <c:v>1</c:v>
                      </c:pt>
                      <c:pt idx="7">
                        <c:v>1</c:v>
                      </c:pt>
                      <c:pt idx="8">
                        <c:v>1</c:v>
                      </c:pt>
                      <c:pt idx="9">
                        <c:v>1</c:v>
                      </c:pt>
                      <c:pt idx="10">
                        <c:v>1</c:v>
                      </c:pt>
                      <c:pt idx="11">
                        <c:v>1</c:v>
                      </c:pt>
                    </c:numCache>
                  </c:numRef>
                </c:val>
                <c:extLst xmlns:c15="http://schemas.microsoft.com/office/drawing/2012/chart">
                  <c:ext xmlns:c16="http://schemas.microsoft.com/office/drawing/2014/chart" uri="{C3380CC4-5D6E-409C-BE32-E72D297353CC}">
                    <c16:uniqueId val="{00000047-CA1D-43F7-96C5-1A246EC8FE63}"/>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'IPC Training '!$D$11</c15:sqref>
                        </c15:formulaRef>
                      </c:ext>
                    </c:extLst>
                    <c:strCache>
                      <c:ptCount val="1"/>
                      <c:pt idx="0">
                        <c:v>Donning &amp; Doffing </c:v>
                      </c:pt>
                    </c:strCache>
                  </c:strRef>
                </c:tx>
                <c:spPr>
                  <a:solidFill>
                    <a:srgbClr val="92D050"/>
                  </a:solidFill>
                  <a:ln>
                    <a:noFill/>
                  </a:ln>
                  <a:effectLst/>
                </c:spPr>
                <c:invertIfNegative val="0"/>
                <c:dPt>
                  <c:idx val="0"/>
                  <c:invertIfNegative val="0"/>
                  <c:bubble3D val="0"/>
                  <c:spPr>
                    <a:solidFill>
                      <a:srgbClr val="92D050"/>
                    </a:solidFill>
                    <a:ln>
                      <a:noFill/>
                    </a:ln>
                    <a:effectLst/>
                  </c:spPr>
                  <c:extLst xmlns:c15="http://schemas.microsoft.com/office/drawing/2012/chart">
                    <c:ext xmlns:c16="http://schemas.microsoft.com/office/drawing/2014/chart" uri="{C3380CC4-5D6E-409C-BE32-E72D297353CC}">
                      <c16:uniqueId val="{00000049-CA1D-43F7-96C5-1A246EC8FE63}"/>
                    </c:ext>
                  </c:extLst>
                </c:dPt>
                <c:dPt>
                  <c:idx val="1"/>
                  <c:invertIfNegative val="0"/>
                  <c:bubble3D val="0"/>
                  <c:spPr>
                    <a:solidFill>
                      <a:srgbClr val="92D050"/>
                    </a:solidFill>
                    <a:ln>
                      <a:noFill/>
                    </a:ln>
                    <a:effectLst/>
                  </c:spPr>
                  <c:extLst xmlns:c15="http://schemas.microsoft.com/office/drawing/2012/chart">
                    <c:ext xmlns:c16="http://schemas.microsoft.com/office/drawing/2014/chart" uri="{C3380CC4-5D6E-409C-BE32-E72D297353CC}">
                      <c16:uniqueId val="{0000004B-CA1D-43F7-96C5-1A246EC8FE63}"/>
                    </c:ext>
                  </c:extLst>
                </c:dPt>
                <c:dPt>
                  <c:idx val="2"/>
                  <c:invertIfNegative val="0"/>
                  <c:bubble3D val="0"/>
                  <c:spPr>
                    <a:solidFill>
                      <a:srgbClr val="92D050"/>
                    </a:solidFill>
                    <a:ln>
                      <a:noFill/>
                    </a:ln>
                    <a:effectLst/>
                  </c:spPr>
                  <c:extLst xmlns:c15="http://schemas.microsoft.com/office/drawing/2012/chart">
                    <c:ext xmlns:c16="http://schemas.microsoft.com/office/drawing/2014/chart" uri="{C3380CC4-5D6E-409C-BE32-E72D297353CC}">
                      <c16:uniqueId val="{0000004D-CA1D-43F7-96C5-1A246EC8FE63}"/>
                    </c:ext>
                  </c:extLst>
                </c:dPt>
                <c:dPt>
                  <c:idx val="3"/>
                  <c:invertIfNegative val="0"/>
                  <c:bubble3D val="0"/>
                  <c:extLst xmlns:c15="http://schemas.microsoft.com/office/drawing/2012/chart">
                    <c:ext xmlns:c16="http://schemas.microsoft.com/office/drawing/2014/chart" uri="{C3380CC4-5D6E-409C-BE32-E72D297353CC}">
                      <c16:uniqueId val="{0000004E-CA1D-43F7-96C5-1A246EC8FE63}"/>
                    </c:ext>
                  </c:extLst>
                </c:dPt>
                <c:dPt>
                  <c:idx val="4"/>
                  <c:invertIfNegative val="0"/>
                  <c:bubble3D val="0"/>
                  <c:spPr>
                    <a:solidFill>
                      <a:srgbClr val="92D050"/>
                    </a:solidFill>
                    <a:ln>
                      <a:noFill/>
                    </a:ln>
                    <a:effectLst/>
                  </c:spPr>
                  <c:extLst xmlns:c15="http://schemas.microsoft.com/office/drawing/2012/chart">
                    <c:ext xmlns:c16="http://schemas.microsoft.com/office/drawing/2014/chart" uri="{C3380CC4-5D6E-409C-BE32-E72D297353CC}">
                      <c16:uniqueId val="{00000050-CA1D-43F7-96C5-1A246EC8FE63}"/>
                    </c:ext>
                  </c:extLst>
                </c:dPt>
                <c:dPt>
                  <c:idx val="5"/>
                  <c:invertIfNegative val="0"/>
                  <c:bubble3D val="0"/>
                  <c:spPr>
                    <a:solidFill>
                      <a:srgbClr val="92D050"/>
                    </a:solidFill>
                    <a:ln>
                      <a:noFill/>
                    </a:ln>
                    <a:effectLst/>
                  </c:spPr>
                  <c:extLst xmlns:c15="http://schemas.microsoft.com/office/drawing/2012/chart">
                    <c:ext xmlns:c16="http://schemas.microsoft.com/office/drawing/2014/chart" uri="{C3380CC4-5D6E-409C-BE32-E72D297353CC}">
                      <c16:uniqueId val="{00000052-CA1D-43F7-96C5-1A246EC8FE63}"/>
                    </c:ext>
                  </c:extLst>
                </c:dPt>
                <c:dPt>
                  <c:idx val="6"/>
                  <c:invertIfNegative val="0"/>
                  <c:bubble3D val="0"/>
                  <c:spPr>
                    <a:solidFill>
                      <a:srgbClr val="92D050"/>
                    </a:solidFill>
                    <a:ln>
                      <a:noFill/>
                    </a:ln>
                    <a:effectLst/>
                  </c:spPr>
                  <c:extLst xmlns:c15="http://schemas.microsoft.com/office/drawing/2012/chart">
                    <c:ext xmlns:c16="http://schemas.microsoft.com/office/drawing/2014/chart" uri="{C3380CC4-5D6E-409C-BE32-E72D297353CC}">
                      <c16:uniqueId val="{00000054-CA1D-43F7-96C5-1A246EC8FE63}"/>
                    </c:ext>
                  </c:extLst>
                </c:dPt>
                <c:dPt>
                  <c:idx val="7"/>
                  <c:invertIfNegative val="0"/>
                  <c:bubble3D val="0"/>
                  <c:spPr>
                    <a:solidFill>
                      <a:srgbClr val="92D050"/>
                    </a:solidFill>
                    <a:ln>
                      <a:noFill/>
                    </a:ln>
                    <a:effectLst/>
                  </c:spPr>
                  <c:extLst xmlns:c15="http://schemas.microsoft.com/office/drawing/2012/chart">
                    <c:ext xmlns:c16="http://schemas.microsoft.com/office/drawing/2014/chart" uri="{C3380CC4-5D6E-409C-BE32-E72D297353CC}">
                      <c16:uniqueId val="{00000056-CA1D-43F7-96C5-1A246EC8FE63}"/>
                    </c:ext>
                  </c:extLst>
                </c:dPt>
                <c:dPt>
                  <c:idx val="8"/>
                  <c:invertIfNegative val="0"/>
                  <c:bubble3D val="0"/>
                  <c:spPr>
                    <a:solidFill>
                      <a:srgbClr val="92D050"/>
                    </a:solidFill>
                    <a:ln>
                      <a:noFill/>
                    </a:ln>
                    <a:effectLst/>
                  </c:spPr>
                  <c:extLst xmlns:c15="http://schemas.microsoft.com/office/drawing/2012/chart">
                    <c:ext xmlns:c16="http://schemas.microsoft.com/office/drawing/2014/chart" uri="{C3380CC4-5D6E-409C-BE32-E72D297353CC}">
                      <c16:uniqueId val="{00000058-CA1D-43F7-96C5-1A246EC8FE63}"/>
                    </c:ext>
                  </c:extLst>
                </c:dPt>
                <c:dPt>
                  <c:idx val="9"/>
                  <c:invertIfNegative val="0"/>
                  <c:bubble3D val="0"/>
                  <c:spPr>
                    <a:solidFill>
                      <a:srgbClr val="92D050"/>
                    </a:solidFill>
                    <a:ln>
                      <a:noFill/>
                    </a:ln>
                    <a:effectLst/>
                  </c:spPr>
                  <c:extLst xmlns:c15="http://schemas.microsoft.com/office/drawing/2012/chart">
                    <c:ext xmlns:c16="http://schemas.microsoft.com/office/drawing/2014/chart" uri="{C3380CC4-5D6E-409C-BE32-E72D297353CC}">
                      <c16:uniqueId val="{0000005A-CA1D-43F7-96C5-1A246EC8FE63}"/>
                    </c:ext>
                  </c:extLst>
                </c:dPt>
                <c:dLbls>
                  <c:spPr>
                    <a:noFill/>
                    <a:ln>
                      <a:noFill/>
                    </a:ln>
                    <a:effectLst/>
                  </c:spPr>
                  <c:txPr>
                    <a:bodyPr rot="0" spcFirstLastPara="1" vertOverflow="ellipsis" vert="horz" wrap="square" lIns="38100" tIns="19050" rIns="38100" bIns="19050" anchor="ctr" anchorCtr="1">
                      <a:spAutoFit/>
                    </a:bodyPr>
                    <a:lstStyle/>
                    <a:p>
                      <a:pPr>
                        <a:defRPr sz="2600" b="0" i="0" u="none" strike="noStrike" kern="1200" baseline="0">
                          <a:solidFill>
                            <a:schemeClr val="bg1"/>
                          </a:solidFill>
                          <a:latin typeface="Arial Nova" panose="020B0504020202020204" pitchFamily="34" charset="0"/>
                          <a:ea typeface="+mn-ea"/>
                          <a:cs typeface="+mn-cs"/>
                        </a:defRPr>
                      </a:pPr>
                      <a:endParaRPr lang="en-US"/>
                    </a:p>
                  </c:txPr>
                  <c:dLblPos val="inBase"/>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'IPC Training '!$E$3:$P$3</c15:sqref>
                        </c15:formulaRef>
                      </c:ext>
                    </c:extLst>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extLst xmlns:c15="http://schemas.microsoft.com/office/drawing/2012/chart">
                      <c:ext xmlns:c15="http://schemas.microsoft.com/office/drawing/2012/chart" uri="{02D57815-91ED-43cb-92C2-25804820EDAC}">
                        <c15:formulaRef>
                          <c15:sqref>'IPC Training '!$E$11:$P$11</c15:sqref>
                        </c15:formulaRef>
                      </c:ext>
                    </c:extLst>
                    <c:numCache>
                      <c:formatCode>0%</c:formatCode>
                      <c:ptCount val="12"/>
                      <c:pt idx="0">
                        <c:v>0.61403913461400472</c:v>
                      </c:pt>
                      <c:pt idx="1">
                        <c:v>0.79445296695825962</c:v>
                      </c:pt>
                      <c:pt idx="2">
                        <c:v>0.82285580912002532</c:v>
                      </c:pt>
                      <c:pt idx="3">
                        <c:v>0.92652044381034315</c:v>
                      </c:pt>
                      <c:pt idx="4">
                        <c:v>0.93795407372773099</c:v>
                      </c:pt>
                      <c:pt idx="5">
                        <c:v>0.96950648961493968</c:v>
                      </c:pt>
                      <c:pt idx="6">
                        <c:v>0.96439436746646801</c:v>
                      </c:pt>
                      <c:pt idx="7">
                        <c:v>0.97663636363636352</c:v>
                      </c:pt>
                      <c:pt idx="8">
                        <c:v>0.98609090909090902</c:v>
                      </c:pt>
                      <c:pt idx="9">
                        <c:v>0.98309090909090913</c:v>
                      </c:pt>
                      <c:pt idx="10">
                        <c:v>0.97209090909090901</c:v>
                      </c:pt>
                      <c:pt idx="11">
                        <c:v>0.97209090909090901</c:v>
                      </c:pt>
                    </c:numCache>
                  </c:numRef>
                </c:val>
                <c:extLst xmlns:c15="http://schemas.microsoft.com/office/drawing/2012/chart">
                  <c:ext xmlns:c16="http://schemas.microsoft.com/office/drawing/2014/chart" uri="{C3380CC4-5D6E-409C-BE32-E72D297353CC}">
                    <c16:uniqueId val="{0000005B-CA1D-43F7-96C5-1A246EC8FE63}"/>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'IPC Training '!$D$13</c15:sqref>
                        </c15:formulaRef>
                      </c:ext>
                    </c:extLst>
                    <c:strCache>
                      <c:ptCount val="1"/>
                      <c:pt idx="0">
                        <c:v>Hand Washing Assessments</c:v>
                      </c:pt>
                    </c:strCache>
                  </c:strRef>
                </c:tx>
                <c:spPr>
                  <a:solidFill>
                    <a:srgbClr val="92D050"/>
                  </a:solidFill>
                  <a:ln>
                    <a:noFill/>
                  </a:ln>
                  <a:effectLst/>
                </c:spPr>
                <c:invertIfNegative val="0"/>
                <c:dPt>
                  <c:idx val="9"/>
                  <c:invertIfNegative val="0"/>
                  <c:bubble3D val="0"/>
                  <c:spPr>
                    <a:solidFill>
                      <a:srgbClr val="FF0000"/>
                    </a:solidFill>
                    <a:ln>
                      <a:noFill/>
                    </a:ln>
                    <a:effectLst/>
                  </c:spPr>
                  <c:extLst xmlns:c15="http://schemas.microsoft.com/office/drawing/2012/chart">
                    <c:ext xmlns:c16="http://schemas.microsoft.com/office/drawing/2014/chart" uri="{C3380CC4-5D6E-409C-BE32-E72D297353CC}">
                      <c16:uniqueId val="{0000005D-CA1D-43F7-96C5-1A246EC8FE63}"/>
                    </c:ext>
                  </c:extLst>
                </c:dPt>
                <c:dLbls>
                  <c:spPr>
                    <a:noFill/>
                    <a:ln>
                      <a:noFill/>
                    </a:ln>
                    <a:effectLst/>
                  </c:spPr>
                  <c:txPr>
                    <a:bodyPr rot="0" spcFirstLastPara="1" vertOverflow="ellipsis" vert="horz" wrap="square" lIns="38100" tIns="19050" rIns="38100" bIns="19050" anchor="ctr" anchorCtr="1">
                      <a:spAutoFit/>
                    </a:bodyPr>
                    <a:lstStyle/>
                    <a:p>
                      <a:pPr>
                        <a:defRPr sz="2400" b="0" i="0" u="none" strike="noStrike" kern="1200" baseline="0">
                          <a:solidFill>
                            <a:schemeClr val="bg1"/>
                          </a:solidFill>
                          <a:latin typeface="Arial Nova" panose="020B0504020202020204" pitchFamily="34" charset="0"/>
                          <a:ea typeface="+mn-ea"/>
                          <a:cs typeface="+mn-cs"/>
                        </a:defRPr>
                      </a:pPr>
                      <a:endParaRPr lang="en-US"/>
                    </a:p>
                  </c:txPr>
                  <c:dLblPos val="inBase"/>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'IPC Training '!$E$3:$P$3</c15:sqref>
                        </c15:formulaRef>
                      </c:ext>
                    </c:extLst>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extLst xmlns:c15="http://schemas.microsoft.com/office/drawing/2012/chart">
                      <c:ext xmlns:c15="http://schemas.microsoft.com/office/drawing/2012/chart" uri="{02D57815-91ED-43cb-92C2-25804820EDAC}">
                        <c15:formulaRef>
                          <c15:sqref>'IPC Training '!$E$13:$P$13</c15:sqref>
                        </c15:formulaRef>
                      </c:ext>
                    </c:extLst>
                    <c:numCache>
                      <c:formatCode>0%</c:formatCode>
                      <c:ptCount val="12"/>
                      <c:pt idx="0">
                        <c:v>0.7030075339314471</c:v>
                      </c:pt>
                      <c:pt idx="1">
                        <c:v>0.7465630239377341</c:v>
                      </c:pt>
                      <c:pt idx="2">
                        <c:v>0.75592406814561985</c:v>
                      </c:pt>
                      <c:pt idx="3">
                        <c:v>0.88727506479965612</c:v>
                      </c:pt>
                      <c:pt idx="4">
                        <c:v>0.90874795269616238</c:v>
                      </c:pt>
                      <c:pt idx="5">
                        <c:v>0.93315717889328553</c:v>
                      </c:pt>
                      <c:pt idx="6">
                        <c:v>0.92218811619503327</c:v>
                      </c:pt>
                      <c:pt idx="7">
                        <c:v>0.93263636363636349</c:v>
                      </c:pt>
                      <c:pt idx="8">
                        <c:v>0.92368181818181827</c:v>
                      </c:pt>
                      <c:pt idx="9">
                        <c:v>0.83299999999999985</c:v>
                      </c:pt>
                      <c:pt idx="10">
                        <c:v>0.83490909090909082</c:v>
                      </c:pt>
                      <c:pt idx="11">
                        <c:v>0.83490909090909082</c:v>
                      </c:pt>
                    </c:numCache>
                  </c:numRef>
                </c:val>
                <c:extLst xmlns:c15="http://schemas.microsoft.com/office/drawing/2012/chart">
                  <c:ext xmlns:c16="http://schemas.microsoft.com/office/drawing/2014/chart" uri="{C3380CC4-5D6E-409C-BE32-E72D297353CC}">
                    <c16:uniqueId val="{0000005E-CA1D-43F7-96C5-1A246EC8FE63}"/>
                  </c:ext>
                </c:extLst>
              </c15:ser>
            </c15:filteredBarSeries>
          </c:ext>
        </c:extLst>
      </c:barChart>
      <c:dateAx>
        <c:axId val="143000227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crossAx val="1430003936"/>
        <c:crosses val="autoZero"/>
        <c:auto val="1"/>
        <c:lblOffset val="100"/>
        <c:baseTimeUnit val="months"/>
      </c:dateAx>
      <c:valAx>
        <c:axId val="1430003936"/>
        <c:scaling>
          <c:orientation val="minMax"/>
          <c:max val="1"/>
        </c:scaling>
        <c:delete val="1"/>
        <c:axPos val="l"/>
        <c:numFmt formatCode="0%" sourceLinked="1"/>
        <c:majorTickMark val="out"/>
        <c:minorTickMark val="none"/>
        <c:tickLblPos val="nextTo"/>
        <c:crossAx val="1430002272"/>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Cleaning Score</a:t>
            </a:r>
          </a:p>
        </c:rich>
      </c:tx>
      <c:overlay val="0"/>
    </c:title>
    <c:autoTitleDeleted val="0"/>
    <c:plotArea>
      <c:layout/>
      <c:lineChart>
        <c:grouping val="standard"/>
        <c:varyColors val="0"/>
        <c:ser>
          <c:idx val="0"/>
          <c:order val="0"/>
          <c:tx>
            <c:strRef>
              <c:f>Graphdata!$B$67</c:f>
              <c:strCache>
                <c:ptCount val="1"/>
                <c:pt idx="0">
                  <c:v>National Target</c:v>
                </c:pt>
              </c:strCache>
            </c:strRef>
          </c:tx>
          <c:marker>
            <c:symbol val="none"/>
          </c:marker>
          <c:cat>
            <c:numRef>
              <c:f>Graphdata!$A$68:$A$79</c:f>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f>Graphdata!$B$68:$B$79</c:f>
              <c:numCache>
                <c:formatCode>General</c:formatCode>
                <c:ptCount val="12"/>
                <c:pt idx="0">
                  <c:v>85</c:v>
                </c:pt>
                <c:pt idx="1">
                  <c:v>85</c:v>
                </c:pt>
                <c:pt idx="2">
                  <c:v>85</c:v>
                </c:pt>
                <c:pt idx="3">
                  <c:v>85</c:v>
                </c:pt>
                <c:pt idx="4">
                  <c:v>85</c:v>
                </c:pt>
                <c:pt idx="5">
                  <c:v>85</c:v>
                </c:pt>
                <c:pt idx="6">
                  <c:v>85</c:v>
                </c:pt>
                <c:pt idx="7">
                  <c:v>85</c:v>
                </c:pt>
                <c:pt idx="8">
                  <c:v>85</c:v>
                </c:pt>
                <c:pt idx="9">
                  <c:v>85</c:v>
                </c:pt>
                <c:pt idx="10">
                  <c:v>85</c:v>
                </c:pt>
                <c:pt idx="11">
                  <c:v>85</c:v>
                </c:pt>
              </c:numCache>
            </c:numRef>
          </c:val>
          <c:smooth val="0"/>
          <c:extLst>
            <c:ext xmlns:c16="http://schemas.microsoft.com/office/drawing/2014/chart" uri="{C3380CC4-5D6E-409C-BE32-E72D297353CC}">
              <c16:uniqueId val="{00000000-6F2E-462D-A1BD-280DB4C0F2A1}"/>
            </c:ext>
          </c:extLst>
        </c:ser>
        <c:ser>
          <c:idx val="1"/>
          <c:order val="1"/>
          <c:tx>
            <c:strRef>
              <c:f>Graphdata!$C$67</c:f>
              <c:strCache>
                <c:ptCount val="1"/>
                <c:pt idx="0">
                  <c:v>Trust Target</c:v>
                </c:pt>
              </c:strCache>
            </c:strRef>
          </c:tx>
          <c:marker>
            <c:symbol val="none"/>
          </c:marker>
          <c:cat>
            <c:numRef>
              <c:f>Graphdata!$A$68:$A$79</c:f>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f>Graphdata!$C$68:$C$79</c:f>
              <c:numCache>
                <c:formatCode>General</c:formatCode>
                <c:ptCount val="12"/>
                <c:pt idx="0">
                  <c:v>94</c:v>
                </c:pt>
                <c:pt idx="1">
                  <c:v>94</c:v>
                </c:pt>
                <c:pt idx="2">
                  <c:v>94</c:v>
                </c:pt>
                <c:pt idx="3">
                  <c:v>94</c:v>
                </c:pt>
                <c:pt idx="4">
                  <c:v>94</c:v>
                </c:pt>
                <c:pt idx="5">
                  <c:v>94</c:v>
                </c:pt>
                <c:pt idx="6">
                  <c:v>94</c:v>
                </c:pt>
                <c:pt idx="7">
                  <c:v>94</c:v>
                </c:pt>
                <c:pt idx="8">
                  <c:v>94</c:v>
                </c:pt>
                <c:pt idx="9">
                  <c:v>94</c:v>
                </c:pt>
                <c:pt idx="10">
                  <c:v>94</c:v>
                </c:pt>
                <c:pt idx="11">
                  <c:v>94</c:v>
                </c:pt>
              </c:numCache>
            </c:numRef>
          </c:val>
          <c:smooth val="0"/>
          <c:extLst>
            <c:ext xmlns:c16="http://schemas.microsoft.com/office/drawing/2014/chart" uri="{C3380CC4-5D6E-409C-BE32-E72D297353CC}">
              <c16:uniqueId val="{00000001-6F2E-462D-A1BD-280DB4C0F2A1}"/>
            </c:ext>
          </c:extLst>
        </c:ser>
        <c:ser>
          <c:idx val="2"/>
          <c:order val="2"/>
          <c:tx>
            <c:strRef>
              <c:f>Graphdata!$D$67</c:f>
              <c:strCache>
                <c:ptCount val="1"/>
                <c:pt idx="0">
                  <c:v>RJAH Score</c:v>
                </c:pt>
              </c:strCache>
            </c:strRef>
          </c:tx>
          <c:marker>
            <c:symbol val="none"/>
          </c:marker>
          <c:cat>
            <c:numRef>
              <c:f>Graphdata!$A$68:$A$79</c:f>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f>Graphdata!$D$68:$D$79</c:f>
              <c:numCache>
                <c:formatCode>General</c:formatCode>
                <c:ptCount val="12"/>
                <c:pt idx="0">
                  <c:v>99.25</c:v>
                </c:pt>
                <c:pt idx="1">
                  <c:v>98.8</c:v>
                </c:pt>
                <c:pt idx="2">
                  <c:v>98.45</c:v>
                </c:pt>
                <c:pt idx="3">
                  <c:v>98.31</c:v>
                </c:pt>
                <c:pt idx="4">
                  <c:v>97.84</c:v>
                </c:pt>
                <c:pt idx="5">
                  <c:v>97.86</c:v>
                </c:pt>
                <c:pt idx="6">
                  <c:v>97.57</c:v>
                </c:pt>
                <c:pt idx="7">
                  <c:v>97.33</c:v>
                </c:pt>
                <c:pt idx="8">
                  <c:v>97.6</c:v>
                </c:pt>
                <c:pt idx="9">
                  <c:v>97.96</c:v>
                </c:pt>
                <c:pt idx="10">
                  <c:v>97.21</c:v>
                </c:pt>
                <c:pt idx="11">
                  <c:v>97.08</c:v>
                </c:pt>
              </c:numCache>
            </c:numRef>
          </c:val>
          <c:smooth val="0"/>
          <c:extLst>
            <c:ext xmlns:c16="http://schemas.microsoft.com/office/drawing/2014/chart" uri="{C3380CC4-5D6E-409C-BE32-E72D297353CC}">
              <c16:uniqueId val="{00000002-6F2E-462D-A1BD-280DB4C0F2A1}"/>
            </c:ext>
          </c:extLst>
        </c:ser>
        <c:dLbls>
          <c:showLegendKey val="0"/>
          <c:showVal val="0"/>
          <c:showCatName val="0"/>
          <c:showSerName val="0"/>
          <c:showPercent val="0"/>
          <c:showBubbleSize val="0"/>
        </c:dLbls>
        <c:smooth val="0"/>
        <c:axId val="250868480"/>
        <c:axId val="250870016"/>
      </c:lineChart>
      <c:dateAx>
        <c:axId val="250868480"/>
        <c:scaling>
          <c:orientation val="minMax"/>
        </c:scaling>
        <c:delete val="0"/>
        <c:axPos val="b"/>
        <c:numFmt formatCode="mmm\-yy" sourceLinked="1"/>
        <c:majorTickMark val="none"/>
        <c:minorTickMark val="none"/>
        <c:tickLblPos val="nextTo"/>
        <c:crossAx val="250870016"/>
        <c:crosses val="autoZero"/>
        <c:auto val="1"/>
        <c:lblOffset val="100"/>
        <c:baseTimeUnit val="months"/>
      </c:dateAx>
      <c:valAx>
        <c:axId val="250870016"/>
        <c:scaling>
          <c:orientation val="minMax"/>
          <c:max val="100"/>
        </c:scaling>
        <c:delete val="0"/>
        <c:axPos val="l"/>
        <c:majorGridlines/>
        <c:title>
          <c:tx>
            <c:rich>
              <a:bodyPr/>
              <a:lstStyle/>
              <a:p>
                <a:pPr>
                  <a:defRPr/>
                </a:pPr>
                <a:r>
                  <a:rPr lang="en-GB"/>
                  <a:t>% Clean</a:t>
                </a:r>
              </a:p>
            </c:rich>
          </c:tx>
          <c:overlay val="0"/>
        </c:title>
        <c:numFmt formatCode="General" sourceLinked="1"/>
        <c:majorTickMark val="none"/>
        <c:minorTickMark val="none"/>
        <c:tickLblPos val="nextTo"/>
        <c:crossAx val="250868480"/>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100">
                <a:solidFill>
                  <a:sysClr val="windowText" lastClr="000000"/>
                </a:solidFill>
                <a:latin typeface="Arial Nova" panose="020B0504020202020204" pitchFamily="34" charset="0"/>
              </a:defRPr>
            </a:pPr>
            <a:r>
              <a:rPr lang="en-GB" sz="1100" b="1" i="0" baseline="0">
                <a:solidFill>
                  <a:sysClr val="windowText" lastClr="000000"/>
                </a:solidFill>
                <a:effectLst/>
                <a:latin typeface="Arial Nova" panose="020B0504020202020204" pitchFamily="34" charset="0"/>
              </a:rPr>
              <a:t>Rates of RJAH Spinal Surgery SSIs Reported on the Surgical Site Infections Surveillance Service per Qtr </a:t>
            </a:r>
            <a:endParaRPr lang="en-GB" sz="1100">
              <a:solidFill>
                <a:sysClr val="windowText" lastClr="000000"/>
              </a:solidFill>
              <a:effectLst/>
              <a:latin typeface="Arial Nova" panose="020B0504020202020204" pitchFamily="34" charset="0"/>
            </a:endParaRPr>
          </a:p>
        </c:rich>
      </c:tx>
      <c:layout>
        <c:manualLayout>
          <c:xMode val="edge"/>
          <c:yMode val="edge"/>
          <c:x val="0.14886926496664793"/>
          <c:y val="8.5563905272297239E-3"/>
        </c:manualLayout>
      </c:layout>
      <c:overlay val="0"/>
    </c:title>
    <c:autoTitleDeleted val="0"/>
    <c:plotArea>
      <c:layout/>
      <c:lineChart>
        <c:grouping val="standard"/>
        <c:varyColors val="0"/>
        <c:ser>
          <c:idx val="0"/>
          <c:order val="0"/>
          <c:tx>
            <c:strRef>
              <c:f>'SSI SPC - Spinal Surgery 2'!$B$3</c:f>
              <c:strCache>
                <c:ptCount val="1"/>
                <c:pt idx="0">
                  <c:v> Rate Spines</c:v>
                </c:pt>
              </c:strCache>
            </c:strRef>
          </c:tx>
          <c:spPr>
            <a:ln>
              <a:solidFill>
                <a:srgbClr val="C00000"/>
              </a:solidFill>
            </a:ln>
          </c:spPr>
          <c:marker>
            <c:spPr>
              <a:noFill/>
              <a:ln>
                <a:solidFill>
                  <a:srgbClr val="C00000"/>
                </a:solidFill>
              </a:ln>
            </c:spPr>
          </c:marker>
          <c:cat>
            <c:strRef>
              <c:f>'SSI SPC - Spinal Surgery 2'!$A$4:$A$24</c:f>
              <c:strCache>
                <c:ptCount val="16"/>
                <c:pt idx="0">
                  <c:v>Jan - Mar 19</c:v>
                </c:pt>
                <c:pt idx="1">
                  <c:v>Apr - Jun 19</c:v>
                </c:pt>
                <c:pt idx="2">
                  <c:v>Jul - Sep 19</c:v>
                </c:pt>
                <c:pt idx="3">
                  <c:v>Oct-Dec 19</c:v>
                </c:pt>
                <c:pt idx="4">
                  <c:v>Jan - Mar 20</c:v>
                </c:pt>
                <c:pt idx="5">
                  <c:v>Apr - June 20</c:v>
                </c:pt>
                <c:pt idx="6">
                  <c:v>Jul - Sept 20</c:v>
                </c:pt>
                <c:pt idx="7">
                  <c:v>Oct - Dec 20</c:v>
                </c:pt>
                <c:pt idx="8">
                  <c:v>Jan - Mar 21</c:v>
                </c:pt>
                <c:pt idx="9">
                  <c:v>Apr - Jun 21</c:v>
                </c:pt>
                <c:pt idx="10">
                  <c:v>Jul - Sept 21</c:v>
                </c:pt>
                <c:pt idx="11">
                  <c:v>Oct - Dec 21</c:v>
                </c:pt>
                <c:pt idx="12">
                  <c:v>Jan - Mar 22</c:v>
                </c:pt>
                <c:pt idx="13">
                  <c:v>Apr - Jun 22</c:v>
                </c:pt>
                <c:pt idx="14">
                  <c:v>Jul - Sep 22</c:v>
                </c:pt>
                <c:pt idx="15">
                  <c:v>Oct - Dec 22</c:v>
                </c:pt>
              </c:strCache>
              <c:extLst/>
            </c:strRef>
          </c:cat>
          <c:val>
            <c:numRef>
              <c:f>'SSI SPC - Spinal Surgery 2'!$B$4:$B$24</c:f>
              <c:numCache>
                <c:formatCode>General</c:formatCode>
                <c:ptCount val="16"/>
                <c:pt idx="0">
                  <c:v>0.4</c:v>
                </c:pt>
                <c:pt idx="1">
                  <c:v>1.5</c:v>
                </c:pt>
                <c:pt idx="2">
                  <c:v>0.8</c:v>
                </c:pt>
                <c:pt idx="3">
                  <c:v>2.2999999999999998</c:v>
                </c:pt>
                <c:pt idx="4">
                  <c:v>0.5</c:v>
                </c:pt>
                <c:pt idx="5">
                  <c:v>0</c:v>
                </c:pt>
                <c:pt idx="6">
                  <c:v>0</c:v>
                </c:pt>
                <c:pt idx="7">
                  <c:v>0</c:v>
                </c:pt>
                <c:pt idx="8">
                  <c:v>0</c:v>
                </c:pt>
                <c:pt idx="9">
                  <c:v>2</c:v>
                </c:pt>
                <c:pt idx="10">
                  <c:v>2.9</c:v>
                </c:pt>
                <c:pt idx="11">
                  <c:v>1</c:v>
                </c:pt>
                <c:pt idx="12">
                  <c:v>0.6</c:v>
                </c:pt>
                <c:pt idx="13">
                  <c:v>1.7</c:v>
                </c:pt>
                <c:pt idx="14">
                  <c:v>0</c:v>
                </c:pt>
                <c:pt idx="15">
                  <c:v>0</c:v>
                </c:pt>
              </c:numCache>
              <c:extLst/>
            </c:numRef>
          </c:val>
          <c:smooth val="0"/>
          <c:extLst>
            <c:ext xmlns:c16="http://schemas.microsoft.com/office/drawing/2014/chart" uri="{C3380CC4-5D6E-409C-BE32-E72D297353CC}">
              <c16:uniqueId val="{00000000-A0FD-424D-9C1F-180AB4F69E16}"/>
            </c:ext>
          </c:extLst>
        </c:ser>
        <c:ser>
          <c:idx val="1"/>
          <c:order val="1"/>
          <c:tx>
            <c:strRef>
              <c:f>'SSI SPC - Spinal Surgery 2'!$G$3</c:f>
              <c:strCache>
                <c:ptCount val="1"/>
                <c:pt idx="0">
                  <c:v>Lower Control Limit</c:v>
                </c:pt>
              </c:strCache>
            </c:strRef>
          </c:tx>
          <c:spPr>
            <a:ln>
              <a:solidFill>
                <a:srgbClr val="0070C0"/>
              </a:solidFill>
            </a:ln>
          </c:spPr>
          <c:marker>
            <c:spPr>
              <a:solidFill>
                <a:srgbClr val="0070C0"/>
              </a:solidFill>
              <a:ln>
                <a:solidFill>
                  <a:srgbClr val="0070C0"/>
                </a:solidFill>
              </a:ln>
            </c:spPr>
          </c:marker>
          <c:cat>
            <c:strRef>
              <c:f>'SSI SPC - Spinal Surgery 2'!$A$4:$A$24</c:f>
              <c:strCache>
                <c:ptCount val="16"/>
                <c:pt idx="0">
                  <c:v>Jan - Mar 19</c:v>
                </c:pt>
                <c:pt idx="1">
                  <c:v>Apr - Jun 19</c:v>
                </c:pt>
                <c:pt idx="2">
                  <c:v>Jul - Sep 19</c:v>
                </c:pt>
                <c:pt idx="3">
                  <c:v>Oct-Dec 19</c:v>
                </c:pt>
                <c:pt idx="4">
                  <c:v>Jan - Mar 20</c:v>
                </c:pt>
                <c:pt idx="5">
                  <c:v>Apr - June 20</c:v>
                </c:pt>
                <c:pt idx="6">
                  <c:v>Jul - Sept 20</c:v>
                </c:pt>
                <c:pt idx="7">
                  <c:v>Oct - Dec 20</c:v>
                </c:pt>
                <c:pt idx="8">
                  <c:v>Jan - Mar 21</c:v>
                </c:pt>
                <c:pt idx="9">
                  <c:v>Apr - Jun 21</c:v>
                </c:pt>
                <c:pt idx="10">
                  <c:v>Jul - Sept 21</c:v>
                </c:pt>
                <c:pt idx="11">
                  <c:v>Oct - Dec 21</c:v>
                </c:pt>
                <c:pt idx="12">
                  <c:v>Jan - Mar 22</c:v>
                </c:pt>
                <c:pt idx="13">
                  <c:v>Apr - Jun 22</c:v>
                </c:pt>
                <c:pt idx="14">
                  <c:v>Jul - Sep 22</c:v>
                </c:pt>
                <c:pt idx="15">
                  <c:v>Oct - Dec 22</c:v>
                </c:pt>
              </c:strCache>
              <c:extLst/>
            </c:strRef>
          </c:cat>
          <c:val>
            <c:numRef>
              <c:f>'SSI SPC - Spinal Surgery 2'!$G$4:$G$24</c:f>
              <c:numCache>
                <c:formatCode>0.00</c:formatCode>
                <c:ptCount val="16"/>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numCache>
              <c:extLst/>
            </c:numRef>
          </c:val>
          <c:smooth val="0"/>
          <c:extLst>
            <c:ext xmlns:c16="http://schemas.microsoft.com/office/drawing/2014/chart" uri="{C3380CC4-5D6E-409C-BE32-E72D297353CC}">
              <c16:uniqueId val="{00000001-A0FD-424D-9C1F-180AB4F69E16}"/>
            </c:ext>
          </c:extLst>
        </c:ser>
        <c:ser>
          <c:idx val="2"/>
          <c:order val="2"/>
          <c:tx>
            <c:strRef>
              <c:f>'SSI SPC - Spinal Surgery 2'!$H$3</c:f>
              <c:strCache>
                <c:ptCount val="1"/>
                <c:pt idx="0">
                  <c:v>Upper Control Limit</c:v>
                </c:pt>
              </c:strCache>
            </c:strRef>
          </c:tx>
          <c:cat>
            <c:strRef>
              <c:f>'SSI SPC - Spinal Surgery 2'!$A$4:$A$24</c:f>
              <c:strCache>
                <c:ptCount val="16"/>
                <c:pt idx="0">
                  <c:v>Jan - Mar 19</c:v>
                </c:pt>
                <c:pt idx="1">
                  <c:v>Apr - Jun 19</c:v>
                </c:pt>
                <c:pt idx="2">
                  <c:v>Jul - Sep 19</c:v>
                </c:pt>
                <c:pt idx="3">
                  <c:v>Oct-Dec 19</c:v>
                </c:pt>
                <c:pt idx="4">
                  <c:v>Jan - Mar 20</c:v>
                </c:pt>
                <c:pt idx="5">
                  <c:v>Apr - June 20</c:v>
                </c:pt>
                <c:pt idx="6">
                  <c:v>Jul - Sept 20</c:v>
                </c:pt>
                <c:pt idx="7">
                  <c:v>Oct - Dec 20</c:v>
                </c:pt>
                <c:pt idx="8">
                  <c:v>Jan - Mar 21</c:v>
                </c:pt>
                <c:pt idx="9">
                  <c:v>Apr - Jun 21</c:v>
                </c:pt>
                <c:pt idx="10">
                  <c:v>Jul - Sept 21</c:v>
                </c:pt>
                <c:pt idx="11">
                  <c:v>Oct - Dec 21</c:v>
                </c:pt>
                <c:pt idx="12">
                  <c:v>Jan - Mar 22</c:v>
                </c:pt>
                <c:pt idx="13">
                  <c:v>Apr - Jun 22</c:v>
                </c:pt>
                <c:pt idx="14">
                  <c:v>Jul - Sep 22</c:v>
                </c:pt>
                <c:pt idx="15">
                  <c:v>Oct - Dec 22</c:v>
                </c:pt>
              </c:strCache>
              <c:extLst/>
            </c:strRef>
          </c:cat>
          <c:val>
            <c:numRef>
              <c:f>'SSI SPC - Spinal Surgery 2'!$H$4:$H$24</c:f>
              <c:numCache>
                <c:formatCode>0.00</c:formatCode>
                <c:ptCount val="16"/>
                <c:pt idx="0">
                  <c:v>2.3346</c:v>
                </c:pt>
                <c:pt idx="1">
                  <c:v>2.3346</c:v>
                </c:pt>
                <c:pt idx="2">
                  <c:v>2.3346</c:v>
                </c:pt>
                <c:pt idx="3">
                  <c:v>2.3346</c:v>
                </c:pt>
                <c:pt idx="4">
                  <c:v>2.3346</c:v>
                </c:pt>
                <c:pt idx="5">
                  <c:v>2.3346</c:v>
                </c:pt>
                <c:pt idx="6">
                  <c:v>2.3346</c:v>
                </c:pt>
                <c:pt idx="7">
                  <c:v>2.3346</c:v>
                </c:pt>
                <c:pt idx="8">
                  <c:v>2.3346</c:v>
                </c:pt>
                <c:pt idx="9">
                  <c:v>2.3346</c:v>
                </c:pt>
                <c:pt idx="10">
                  <c:v>2.3346</c:v>
                </c:pt>
                <c:pt idx="11">
                  <c:v>2.3346</c:v>
                </c:pt>
                <c:pt idx="12">
                  <c:v>2.3346</c:v>
                </c:pt>
                <c:pt idx="13">
                  <c:v>2.3346</c:v>
                </c:pt>
                <c:pt idx="14">
                  <c:v>2.3346</c:v>
                </c:pt>
                <c:pt idx="15">
                  <c:v>2.3346</c:v>
                </c:pt>
              </c:numCache>
              <c:extLst/>
            </c:numRef>
          </c:val>
          <c:smooth val="0"/>
          <c:extLst>
            <c:ext xmlns:c16="http://schemas.microsoft.com/office/drawing/2014/chart" uri="{C3380CC4-5D6E-409C-BE32-E72D297353CC}">
              <c16:uniqueId val="{00000002-A0FD-424D-9C1F-180AB4F69E16}"/>
            </c:ext>
          </c:extLst>
        </c:ser>
        <c:dLbls>
          <c:showLegendKey val="0"/>
          <c:showVal val="0"/>
          <c:showCatName val="0"/>
          <c:showSerName val="0"/>
          <c:showPercent val="0"/>
          <c:showBubbleSize val="0"/>
        </c:dLbls>
        <c:marker val="1"/>
        <c:smooth val="0"/>
        <c:axId val="159768960"/>
        <c:axId val="159770496"/>
      </c:lineChart>
      <c:catAx>
        <c:axId val="159768960"/>
        <c:scaling>
          <c:orientation val="minMax"/>
        </c:scaling>
        <c:delete val="0"/>
        <c:axPos val="b"/>
        <c:numFmt formatCode="General" sourceLinked="0"/>
        <c:majorTickMark val="none"/>
        <c:minorTickMark val="none"/>
        <c:tickLblPos val="nextTo"/>
        <c:spPr>
          <a:ln w="3175"/>
        </c:spPr>
        <c:txPr>
          <a:bodyPr rot="5400000" vert="horz"/>
          <a:lstStyle/>
          <a:p>
            <a:pPr>
              <a:defRPr sz="800">
                <a:latin typeface="Arial Nova" panose="020B0504020202020204" pitchFamily="34" charset="0"/>
              </a:defRPr>
            </a:pPr>
            <a:endParaRPr lang="en-US"/>
          </a:p>
        </c:txPr>
        <c:crossAx val="159770496"/>
        <c:crosses val="autoZero"/>
        <c:auto val="1"/>
        <c:lblAlgn val="ctr"/>
        <c:lblOffset val="100"/>
        <c:noMultiLvlLbl val="0"/>
      </c:catAx>
      <c:valAx>
        <c:axId val="159770496"/>
        <c:scaling>
          <c:orientation val="minMax"/>
        </c:scaling>
        <c:delete val="0"/>
        <c:axPos val="l"/>
        <c:majorGridlines/>
        <c:title>
          <c:tx>
            <c:rich>
              <a:bodyPr/>
              <a:lstStyle/>
              <a:p>
                <a:pPr>
                  <a:defRPr/>
                </a:pPr>
                <a:r>
                  <a:rPr lang="en-GB"/>
                  <a:t>%</a:t>
                </a:r>
                <a:r>
                  <a:rPr lang="en-GB" baseline="0"/>
                  <a:t> rate</a:t>
                </a:r>
                <a:endParaRPr lang="en-GB"/>
              </a:p>
            </c:rich>
          </c:tx>
          <c:overlay val="0"/>
        </c:title>
        <c:numFmt formatCode="General" sourceLinked="1"/>
        <c:majorTickMark val="none"/>
        <c:minorTickMark val="none"/>
        <c:tickLblPos val="nextTo"/>
        <c:txPr>
          <a:bodyPr/>
          <a:lstStyle/>
          <a:p>
            <a:pPr>
              <a:defRPr sz="800">
                <a:latin typeface="Arial Nova" panose="020B0504020202020204" pitchFamily="34" charset="0"/>
              </a:defRPr>
            </a:pPr>
            <a:endParaRPr lang="en-US"/>
          </a:p>
        </c:txPr>
        <c:crossAx val="159768960"/>
        <c:crosses val="autoZero"/>
        <c:crossBetween val="between"/>
        <c:majorUnit val="0.1"/>
      </c:valAx>
    </c:plotArea>
    <c:legend>
      <c:legendPos val="r"/>
      <c:overlay val="0"/>
      <c:txPr>
        <a:bodyPr/>
        <a:lstStyle/>
        <a:p>
          <a:pPr>
            <a:defRPr sz="800">
              <a:latin typeface="Arial Nova" panose="020B05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0"/>
          <a:lstStyle/>
          <a:p>
            <a:pPr algn="ctr">
              <a:defRPr sz="1100">
                <a:solidFill>
                  <a:sysClr val="windowText" lastClr="000000"/>
                </a:solidFill>
                <a:latin typeface="Arial Nova" panose="020B0504020202020204" pitchFamily="34" charset="0"/>
              </a:defRPr>
            </a:pPr>
            <a:r>
              <a:rPr lang="en-GB" sz="1100" b="1" i="0" baseline="0">
                <a:solidFill>
                  <a:sysClr val="windowText" lastClr="000000"/>
                </a:solidFill>
                <a:effectLst/>
                <a:latin typeface="Arial Nova" panose="020B0504020202020204" pitchFamily="34" charset="0"/>
              </a:rPr>
              <a:t>Rates of RJAH Total Knee Replacement Surgery SSIs Reported on the Surgical Site Infections Surveillance Service per Qtr  </a:t>
            </a:r>
            <a:endParaRPr lang="en-GB" sz="1100">
              <a:solidFill>
                <a:sysClr val="windowText" lastClr="000000"/>
              </a:solidFill>
              <a:effectLst/>
              <a:latin typeface="Arial Nova" panose="020B0504020202020204" pitchFamily="34" charset="0"/>
            </a:endParaRPr>
          </a:p>
        </c:rich>
      </c:tx>
      <c:layout>
        <c:manualLayout>
          <c:xMode val="edge"/>
          <c:yMode val="edge"/>
          <c:x val="0.14129260441804062"/>
          <c:y val="2.7989358473048012E-3"/>
        </c:manualLayout>
      </c:layout>
      <c:overlay val="0"/>
    </c:title>
    <c:autoTitleDeleted val="0"/>
    <c:plotArea>
      <c:layout/>
      <c:lineChart>
        <c:grouping val="standard"/>
        <c:varyColors val="0"/>
        <c:ser>
          <c:idx val="0"/>
          <c:order val="0"/>
          <c:tx>
            <c:strRef>
              <c:f>'SSI SPC - TKR 2'!$B$3</c:f>
              <c:strCache>
                <c:ptCount val="1"/>
                <c:pt idx="0">
                  <c:v>Rate Knees </c:v>
                </c:pt>
              </c:strCache>
            </c:strRef>
          </c:tx>
          <c:spPr>
            <a:ln>
              <a:solidFill>
                <a:srgbClr val="C00000"/>
              </a:solidFill>
            </a:ln>
          </c:spPr>
          <c:marker>
            <c:spPr>
              <a:noFill/>
              <a:ln>
                <a:solidFill>
                  <a:srgbClr val="C00000"/>
                </a:solidFill>
              </a:ln>
            </c:spPr>
          </c:marker>
          <c:cat>
            <c:strRef>
              <c:f>'SSI SPC - TKR 2'!$A$4:$A$24</c:f>
              <c:strCache>
                <c:ptCount val="16"/>
                <c:pt idx="0">
                  <c:v>Jan - Mar 19</c:v>
                </c:pt>
                <c:pt idx="1">
                  <c:v>Apr - Jun 19</c:v>
                </c:pt>
                <c:pt idx="2">
                  <c:v>Jul - Sep 19</c:v>
                </c:pt>
                <c:pt idx="3">
                  <c:v>Oct-Dec 19</c:v>
                </c:pt>
                <c:pt idx="4">
                  <c:v>Jan - Mar 20</c:v>
                </c:pt>
                <c:pt idx="5">
                  <c:v>Apr - June 20</c:v>
                </c:pt>
                <c:pt idx="6">
                  <c:v>Jul - Sept 20</c:v>
                </c:pt>
                <c:pt idx="7">
                  <c:v>Oct - Dec 20</c:v>
                </c:pt>
                <c:pt idx="8">
                  <c:v>Jan - Mar 21</c:v>
                </c:pt>
                <c:pt idx="9">
                  <c:v>Apr - Jun 21</c:v>
                </c:pt>
                <c:pt idx="10">
                  <c:v>Jul - Sept 21</c:v>
                </c:pt>
                <c:pt idx="11">
                  <c:v>Oct - Dec 21</c:v>
                </c:pt>
                <c:pt idx="12">
                  <c:v>Jan - Mar 22</c:v>
                </c:pt>
                <c:pt idx="13">
                  <c:v>Apr - Jun 22</c:v>
                </c:pt>
                <c:pt idx="14">
                  <c:v>Jul - Sep 22</c:v>
                </c:pt>
                <c:pt idx="15">
                  <c:v>Oct - Dec 22</c:v>
                </c:pt>
              </c:strCache>
              <c:extLst/>
            </c:strRef>
          </c:cat>
          <c:val>
            <c:numRef>
              <c:f>'SSI SPC - TKR 2'!$B$4:$B$24</c:f>
              <c:numCache>
                <c:formatCode>General</c:formatCode>
                <c:ptCount val="16"/>
                <c:pt idx="0">
                  <c:v>0</c:v>
                </c:pt>
                <c:pt idx="1">
                  <c:v>0.5</c:v>
                </c:pt>
                <c:pt idx="2">
                  <c:v>0.3</c:v>
                </c:pt>
                <c:pt idx="3">
                  <c:v>0.2</c:v>
                </c:pt>
                <c:pt idx="4">
                  <c:v>0</c:v>
                </c:pt>
                <c:pt idx="5">
                  <c:v>0</c:v>
                </c:pt>
                <c:pt idx="6">
                  <c:v>0</c:v>
                </c:pt>
                <c:pt idx="7">
                  <c:v>0.4</c:v>
                </c:pt>
                <c:pt idx="8">
                  <c:v>0</c:v>
                </c:pt>
                <c:pt idx="9">
                  <c:v>1.1000000000000001</c:v>
                </c:pt>
                <c:pt idx="10">
                  <c:v>2.2000000000000002</c:v>
                </c:pt>
                <c:pt idx="11">
                  <c:v>0.6</c:v>
                </c:pt>
                <c:pt idx="12">
                  <c:v>0.3</c:v>
                </c:pt>
                <c:pt idx="13">
                  <c:v>0.3</c:v>
                </c:pt>
                <c:pt idx="14" formatCode="0.0">
                  <c:v>1.1000000000000001</c:v>
                </c:pt>
                <c:pt idx="15" formatCode="0.0">
                  <c:v>0.54794520547945202</c:v>
                </c:pt>
              </c:numCache>
              <c:extLst/>
            </c:numRef>
          </c:val>
          <c:smooth val="0"/>
          <c:extLst>
            <c:ext xmlns:c16="http://schemas.microsoft.com/office/drawing/2014/chart" uri="{C3380CC4-5D6E-409C-BE32-E72D297353CC}">
              <c16:uniqueId val="{00000000-8B2F-4478-87B0-03B2D9129338}"/>
            </c:ext>
          </c:extLst>
        </c:ser>
        <c:ser>
          <c:idx val="1"/>
          <c:order val="1"/>
          <c:tx>
            <c:strRef>
              <c:f>'SSI SPC - TKR 2'!$G$3</c:f>
              <c:strCache>
                <c:ptCount val="1"/>
                <c:pt idx="0">
                  <c:v>Lower Control Limit</c:v>
                </c:pt>
              </c:strCache>
            </c:strRef>
          </c:tx>
          <c:spPr>
            <a:ln>
              <a:solidFill>
                <a:srgbClr val="0070C0">
                  <a:alpha val="98000"/>
                </a:srgbClr>
              </a:solidFill>
            </a:ln>
          </c:spPr>
          <c:marker>
            <c:spPr>
              <a:solidFill>
                <a:srgbClr val="0070C0"/>
              </a:solidFill>
              <a:ln>
                <a:solidFill>
                  <a:srgbClr val="0070C0"/>
                </a:solidFill>
              </a:ln>
            </c:spPr>
          </c:marker>
          <c:cat>
            <c:strRef>
              <c:f>'SSI SPC - TKR 2'!$A$4:$A$24</c:f>
              <c:strCache>
                <c:ptCount val="17"/>
                <c:pt idx="0">
                  <c:v>Jan - Mar 19</c:v>
                </c:pt>
                <c:pt idx="1">
                  <c:v>Apr - Jun 19</c:v>
                </c:pt>
                <c:pt idx="2">
                  <c:v>Jul - Sep 19</c:v>
                </c:pt>
                <c:pt idx="3">
                  <c:v>Oct-Dec 19</c:v>
                </c:pt>
                <c:pt idx="4">
                  <c:v>Jan - Mar 20</c:v>
                </c:pt>
                <c:pt idx="5">
                  <c:v>Apr - June 20</c:v>
                </c:pt>
                <c:pt idx="6">
                  <c:v>Jul - Sept 20</c:v>
                </c:pt>
                <c:pt idx="7">
                  <c:v>Oct - Dec 20</c:v>
                </c:pt>
                <c:pt idx="8">
                  <c:v>Jan - Mar 21</c:v>
                </c:pt>
                <c:pt idx="9">
                  <c:v>Apr - Jun 21</c:v>
                </c:pt>
                <c:pt idx="10">
                  <c:v>Jul - Sept 21</c:v>
                </c:pt>
                <c:pt idx="11">
                  <c:v>Oct - Dec 21</c:v>
                </c:pt>
                <c:pt idx="12">
                  <c:v>Jan - Mar 22</c:v>
                </c:pt>
                <c:pt idx="13">
                  <c:v>Apr - Jun 22</c:v>
                </c:pt>
                <c:pt idx="14">
                  <c:v>Jul - Sep 22</c:v>
                </c:pt>
                <c:pt idx="15">
                  <c:v>Oct - Dec 22</c:v>
                </c:pt>
                <c:pt idx="16">
                  <c:v>Jan - Mar 24</c:v>
                </c:pt>
              </c:strCache>
              <c:extLst/>
            </c:strRef>
          </c:cat>
          <c:val>
            <c:numRef>
              <c:f>'SSI SPC - TKR 2'!$G$4:$G$23</c:f>
              <c:numCache>
                <c:formatCode>0.00</c:formatCode>
                <c:ptCount val="16"/>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numCache>
              <c:extLst/>
            </c:numRef>
          </c:val>
          <c:smooth val="0"/>
          <c:extLst>
            <c:ext xmlns:c16="http://schemas.microsoft.com/office/drawing/2014/chart" uri="{C3380CC4-5D6E-409C-BE32-E72D297353CC}">
              <c16:uniqueId val="{00000001-8B2F-4478-87B0-03B2D9129338}"/>
            </c:ext>
          </c:extLst>
        </c:ser>
        <c:ser>
          <c:idx val="2"/>
          <c:order val="2"/>
          <c:tx>
            <c:strRef>
              <c:f>'SSI SPC - TKR 2'!$H$3</c:f>
              <c:strCache>
                <c:ptCount val="1"/>
                <c:pt idx="0">
                  <c:v>Upper Control Limit</c:v>
                </c:pt>
              </c:strCache>
            </c:strRef>
          </c:tx>
          <c:cat>
            <c:strRef>
              <c:f>'SSI SPC - TKR 2'!$A$4:$A$24</c:f>
              <c:strCache>
                <c:ptCount val="17"/>
                <c:pt idx="0">
                  <c:v>Jan - Mar 19</c:v>
                </c:pt>
                <c:pt idx="1">
                  <c:v>Apr - Jun 19</c:v>
                </c:pt>
                <c:pt idx="2">
                  <c:v>Jul - Sep 19</c:v>
                </c:pt>
                <c:pt idx="3">
                  <c:v>Oct-Dec 19</c:v>
                </c:pt>
                <c:pt idx="4">
                  <c:v>Jan - Mar 20</c:v>
                </c:pt>
                <c:pt idx="5">
                  <c:v>Apr - June 20</c:v>
                </c:pt>
                <c:pt idx="6">
                  <c:v>Jul - Sept 20</c:v>
                </c:pt>
                <c:pt idx="7">
                  <c:v>Oct - Dec 20</c:v>
                </c:pt>
                <c:pt idx="8">
                  <c:v>Jan - Mar 21</c:v>
                </c:pt>
                <c:pt idx="9">
                  <c:v>Apr - Jun 21</c:v>
                </c:pt>
                <c:pt idx="10">
                  <c:v>Jul - Sept 21</c:v>
                </c:pt>
                <c:pt idx="11">
                  <c:v>Oct - Dec 21</c:v>
                </c:pt>
                <c:pt idx="12">
                  <c:v>Jan - Mar 22</c:v>
                </c:pt>
                <c:pt idx="13">
                  <c:v>Apr - Jun 22</c:v>
                </c:pt>
                <c:pt idx="14">
                  <c:v>Jul - Sep 22</c:v>
                </c:pt>
                <c:pt idx="15">
                  <c:v>Oct - Dec 22</c:v>
                </c:pt>
                <c:pt idx="16">
                  <c:v>Jan - Mar 24</c:v>
                </c:pt>
              </c:strCache>
              <c:extLst/>
            </c:strRef>
          </c:cat>
          <c:val>
            <c:numRef>
              <c:f>'SSI SPC - TKR 2'!$H$4:$H$23</c:f>
              <c:numCache>
                <c:formatCode>0.00</c:formatCode>
                <c:ptCount val="16"/>
                <c:pt idx="0">
                  <c:v>1.1496</c:v>
                </c:pt>
                <c:pt idx="1">
                  <c:v>1.1496</c:v>
                </c:pt>
                <c:pt idx="2">
                  <c:v>1.1496</c:v>
                </c:pt>
                <c:pt idx="3">
                  <c:v>1.1496</c:v>
                </c:pt>
                <c:pt idx="4">
                  <c:v>1.1496</c:v>
                </c:pt>
                <c:pt idx="5">
                  <c:v>1.1496</c:v>
                </c:pt>
                <c:pt idx="6">
                  <c:v>1.1496</c:v>
                </c:pt>
                <c:pt idx="7">
                  <c:v>1.1496</c:v>
                </c:pt>
                <c:pt idx="8">
                  <c:v>1.1496</c:v>
                </c:pt>
                <c:pt idx="9">
                  <c:v>1.1496</c:v>
                </c:pt>
                <c:pt idx="10">
                  <c:v>1.1496</c:v>
                </c:pt>
                <c:pt idx="11">
                  <c:v>1.1496</c:v>
                </c:pt>
                <c:pt idx="12">
                  <c:v>1.1496</c:v>
                </c:pt>
                <c:pt idx="13">
                  <c:v>1.1496</c:v>
                </c:pt>
                <c:pt idx="14">
                  <c:v>1.1496</c:v>
                </c:pt>
                <c:pt idx="15">
                  <c:v>1.1496</c:v>
                </c:pt>
              </c:numCache>
              <c:extLst/>
            </c:numRef>
          </c:val>
          <c:smooth val="0"/>
          <c:extLst>
            <c:ext xmlns:c16="http://schemas.microsoft.com/office/drawing/2014/chart" uri="{C3380CC4-5D6E-409C-BE32-E72D297353CC}">
              <c16:uniqueId val="{00000002-8B2F-4478-87B0-03B2D9129338}"/>
            </c:ext>
          </c:extLst>
        </c:ser>
        <c:dLbls>
          <c:showLegendKey val="0"/>
          <c:showVal val="0"/>
          <c:showCatName val="0"/>
          <c:showSerName val="0"/>
          <c:showPercent val="0"/>
          <c:showBubbleSize val="0"/>
        </c:dLbls>
        <c:marker val="1"/>
        <c:smooth val="0"/>
        <c:axId val="159768960"/>
        <c:axId val="159770496"/>
        <c:extLst>
          <c:ext xmlns:c15="http://schemas.microsoft.com/office/drawing/2012/chart" uri="{02D57815-91ED-43cb-92C2-25804820EDAC}">
            <c15:filteredLineSeries>
              <c15:ser>
                <c:idx val="3"/>
                <c:order val="3"/>
                <c:tx>
                  <c:strRef>
                    <c:extLst>
                      <c:ext uri="{02D57815-91ED-43cb-92C2-25804820EDAC}">
                        <c15:formulaRef>
                          <c15:sqref>'SSI SPC - TKR 2'!$G$3</c15:sqref>
                        </c15:formulaRef>
                      </c:ext>
                    </c:extLst>
                    <c:strCache>
                      <c:ptCount val="1"/>
                      <c:pt idx="0">
                        <c:v>Lower Control Limit</c:v>
                      </c:pt>
                    </c:strCache>
                  </c:strRef>
                </c:tx>
                <c:cat>
                  <c:strRef>
                    <c:extLst>
                      <c:ext uri="{02D57815-91ED-43cb-92C2-25804820EDAC}">
                        <c15:formulaRef>
                          <c15:sqref>'SSI SPC - TKR 2'!$A$4:$A$24</c15:sqref>
                        </c15:formulaRef>
                      </c:ext>
                    </c:extLst>
                    <c:strCache>
                      <c:ptCount val="16"/>
                      <c:pt idx="0">
                        <c:v>Jan - Mar 19</c:v>
                      </c:pt>
                      <c:pt idx="1">
                        <c:v>Apr - Jun 19</c:v>
                      </c:pt>
                      <c:pt idx="2">
                        <c:v>Jul - Sep 19</c:v>
                      </c:pt>
                      <c:pt idx="3">
                        <c:v>Oct-Dec 19</c:v>
                      </c:pt>
                      <c:pt idx="4">
                        <c:v>Jan - Mar 20</c:v>
                      </c:pt>
                      <c:pt idx="5">
                        <c:v>Apr - June 20</c:v>
                      </c:pt>
                      <c:pt idx="6">
                        <c:v>Jul - Sept 20</c:v>
                      </c:pt>
                      <c:pt idx="7">
                        <c:v>Oct - Dec 20</c:v>
                      </c:pt>
                      <c:pt idx="8">
                        <c:v>Jan - Mar 21</c:v>
                      </c:pt>
                      <c:pt idx="9">
                        <c:v>Apr - Jun 21</c:v>
                      </c:pt>
                      <c:pt idx="10">
                        <c:v>Jul - Sept 21</c:v>
                      </c:pt>
                      <c:pt idx="11">
                        <c:v>Oct - Dec 21</c:v>
                      </c:pt>
                      <c:pt idx="12">
                        <c:v>Jan - Mar 22</c:v>
                      </c:pt>
                      <c:pt idx="13">
                        <c:v>Apr - Jun 22</c:v>
                      </c:pt>
                      <c:pt idx="14">
                        <c:v>Jul - Sep 22</c:v>
                      </c:pt>
                      <c:pt idx="15">
                        <c:v>Oct - Dec 22</c:v>
                      </c:pt>
                    </c:strCache>
                  </c:strRef>
                </c:cat>
                <c:val>
                  <c:numRef>
                    <c:extLst>
                      <c:ext uri="{02D57815-91ED-43cb-92C2-25804820EDAC}">
                        <c15:formulaRef>
                          <c15:sqref>'SSI SPC - TKR 2'!$G$4:$G$24</c15:sqref>
                        </c15:formulaRef>
                      </c:ext>
                    </c:extLst>
                    <c:numCache>
                      <c:formatCode>0.00</c:formatCode>
                      <c:ptCount val="16"/>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numCache>
                  </c:numRef>
                </c:val>
                <c:smooth val="0"/>
                <c:extLst>
                  <c:ext xmlns:c16="http://schemas.microsoft.com/office/drawing/2014/chart" uri="{C3380CC4-5D6E-409C-BE32-E72D297353CC}">
                    <c16:uniqueId val="{00000003-8B2F-4478-87B0-03B2D912933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'SSI SPC - TKR 2'!$H$3</c15:sqref>
                        </c15:formulaRef>
                      </c:ext>
                    </c:extLst>
                    <c:strCache>
                      <c:ptCount val="1"/>
                      <c:pt idx="0">
                        <c:v>Upper Control Limit</c:v>
                      </c:pt>
                    </c:strCache>
                  </c:strRef>
                </c:tx>
                <c:cat>
                  <c:strRef>
                    <c:extLst xmlns:c15="http://schemas.microsoft.com/office/drawing/2012/chart">
                      <c:ext xmlns:c15="http://schemas.microsoft.com/office/drawing/2012/chart" uri="{02D57815-91ED-43cb-92C2-25804820EDAC}">
                        <c15:formulaRef>
                          <c15:sqref>'SSI SPC - TKR 2'!$A$4:$A$24</c15:sqref>
                        </c15:formulaRef>
                      </c:ext>
                    </c:extLst>
                    <c:strCache>
                      <c:ptCount val="16"/>
                      <c:pt idx="0">
                        <c:v>Jan - Mar 19</c:v>
                      </c:pt>
                      <c:pt idx="1">
                        <c:v>Apr - Jun 19</c:v>
                      </c:pt>
                      <c:pt idx="2">
                        <c:v>Jul - Sep 19</c:v>
                      </c:pt>
                      <c:pt idx="3">
                        <c:v>Oct-Dec 19</c:v>
                      </c:pt>
                      <c:pt idx="4">
                        <c:v>Jan - Mar 20</c:v>
                      </c:pt>
                      <c:pt idx="5">
                        <c:v>Apr - June 20</c:v>
                      </c:pt>
                      <c:pt idx="6">
                        <c:v>Jul - Sept 20</c:v>
                      </c:pt>
                      <c:pt idx="7">
                        <c:v>Oct - Dec 20</c:v>
                      </c:pt>
                      <c:pt idx="8">
                        <c:v>Jan - Mar 21</c:v>
                      </c:pt>
                      <c:pt idx="9">
                        <c:v>Apr - Jun 21</c:v>
                      </c:pt>
                      <c:pt idx="10">
                        <c:v>Jul - Sept 21</c:v>
                      </c:pt>
                      <c:pt idx="11">
                        <c:v>Oct - Dec 21</c:v>
                      </c:pt>
                      <c:pt idx="12">
                        <c:v>Jan - Mar 22</c:v>
                      </c:pt>
                      <c:pt idx="13">
                        <c:v>Apr - Jun 22</c:v>
                      </c:pt>
                      <c:pt idx="14">
                        <c:v>Jul - Sep 22</c:v>
                      </c:pt>
                      <c:pt idx="15">
                        <c:v>Oct - Dec 22</c:v>
                      </c:pt>
                    </c:strCache>
                  </c:strRef>
                </c:cat>
                <c:val>
                  <c:numRef>
                    <c:extLst xmlns:c15="http://schemas.microsoft.com/office/drawing/2012/chart">
                      <c:ext xmlns:c15="http://schemas.microsoft.com/office/drawing/2012/chart" uri="{02D57815-91ED-43cb-92C2-25804820EDAC}">
                        <c15:formulaRef>
                          <c15:sqref>'SSI SPC - TKR 2'!$H$4:$H$24</c15:sqref>
                        </c15:formulaRef>
                      </c:ext>
                    </c:extLst>
                    <c:numCache>
                      <c:formatCode>0.00</c:formatCode>
                      <c:ptCount val="16"/>
                      <c:pt idx="0">
                        <c:v>1.1496</c:v>
                      </c:pt>
                      <c:pt idx="1">
                        <c:v>1.1496</c:v>
                      </c:pt>
                      <c:pt idx="2">
                        <c:v>1.1496</c:v>
                      </c:pt>
                      <c:pt idx="3">
                        <c:v>1.1496</c:v>
                      </c:pt>
                      <c:pt idx="4">
                        <c:v>1.1496</c:v>
                      </c:pt>
                      <c:pt idx="5">
                        <c:v>1.1496</c:v>
                      </c:pt>
                      <c:pt idx="6">
                        <c:v>1.1496</c:v>
                      </c:pt>
                      <c:pt idx="7">
                        <c:v>1.1496</c:v>
                      </c:pt>
                      <c:pt idx="8">
                        <c:v>1.1496</c:v>
                      </c:pt>
                      <c:pt idx="9">
                        <c:v>1.1496</c:v>
                      </c:pt>
                      <c:pt idx="10">
                        <c:v>1.1496</c:v>
                      </c:pt>
                      <c:pt idx="11">
                        <c:v>1.1496</c:v>
                      </c:pt>
                      <c:pt idx="12">
                        <c:v>1.1496</c:v>
                      </c:pt>
                      <c:pt idx="13">
                        <c:v>1.1496</c:v>
                      </c:pt>
                      <c:pt idx="14">
                        <c:v>1.1496</c:v>
                      </c:pt>
                      <c:pt idx="15">
                        <c:v>1.1496</c:v>
                      </c:pt>
                    </c:numCache>
                  </c:numRef>
                </c:val>
                <c:smooth val="0"/>
                <c:extLst xmlns:c15="http://schemas.microsoft.com/office/drawing/2012/chart">
                  <c:ext xmlns:c16="http://schemas.microsoft.com/office/drawing/2014/chart" uri="{C3380CC4-5D6E-409C-BE32-E72D297353CC}">
                    <c16:uniqueId val="{00000004-8B2F-4478-87B0-03B2D9129338}"/>
                  </c:ext>
                </c:extLst>
              </c15:ser>
            </c15:filteredLineSeries>
          </c:ext>
        </c:extLst>
      </c:lineChart>
      <c:catAx>
        <c:axId val="159768960"/>
        <c:scaling>
          <c:orientation val="minMax"/>
        </c:scaling>
        <c:delete val="0"/>
        <c:axPos val="b"/>
        <c:numFmt formatCode="General" sourceLinked="0"/>
        <c:majorTickMark val="none"/>
        <c:minorTickMark val="none"/>
        <c:tickLblPos val="nextTo"/>
        <c:spPr>
          <a:ln w="3175"/>
        </c:spPr>
        <c:txPr>
          <a:bodyPr rot="5400000" vert="horz"/>
          <a:lstStyle/>
          <a:p>
            <a:pPr>
              <a:defRPr sz="800">
                <a:latin typeface="Arial Nova" panose="020B0504020202020204" pitchFamily="34" charset="0"/>
              </a:defRPr>
            </a:pPr>
            <a:endParaRPr lang="en-US"/>
          </a:p>
        </c:txPr>
        <c:crossAx val="159770496"/>
        <c:crosses val="autoZero"/>
        <c:auto val="1"/>
        <c:lblAlgn val="ctr"/>
        <c:lblOffset val="100"/>
        <c:noMultiLvlLbl val="0"/>
      </c:catAx>
      <c:valAx>
        <c:axId val="159770496"/>
        <c:scaling>
          <c:orientation val="minMax"/>
        </c:scaling>
        <c:delete val="0"/>
        <c:axPos val="l"/>
        <c:majorGridlines/>
        <c:title>
          <c:tx>
            <c:rich>
              <a:bodyPr/>
              <a:lstStyle/>
              <a:p>
                <a:pPr>
                  <a:defRPr>
                    <a:latin typeface="Arial Nova" panose="020B0504020202020204" pitchFamily="34" charset="0"/>
                  </a:defRPr>
                </a:pPr>
                <a:r>
                  <a:rPr lang="en-US">
                    <a:latin typeface="Arial Nova" panose="020B0504020202020204" pitchFamily="34" charset="0"/>
                  </a:rPr>
                  <a:t>% rate</a:t>
                </a:r>
              </a:p>
            </c:rich>
          </c:tx>
          <c:overlay val="0"/>
        </c:title>
        <c:numFmt formatCode="General" sourceLinked="1"/>
        <c:majorTickMark val="none"/>
        <c:minorTickMark val="none"/>
        <c:tickLblPos val="nextTo"/>
        <c:txPr>
          <a:bodyPr/>
          <a:lstStyle/>
          <a:p>
            <a:pPr>
              <a:defRPr sz="800">
                <a:latin typeface="Arial Nova" panose="020B0504020202020204" pitchFamily="34" charset="0"/>
              </a:defRPr>
            </a:pPr>
            <a:endParaRPr lang="en-US"/>
          </a:p>
        </c:txPr>
        <c:crossAx val="159768960"/>
        <c:crosses val="autoZero"/>
        <c:crossBetween val="between"/>
        <c:majorUnit val="0.1"/>
      </c:valAx>
    </c:plotArea>
    <c:legend>
      <c:legendPos val="r"/>
      <c:overlay val="0"/>
      <c:txPr>
        <a:bodyPr/>
        <a:lstStyle/>
        <a:p>
          <a:pPr>
            <a:defRPr sz="800">
              <a:latin typeface="Arial Nova" panose="020B05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100">
                <a:solidFill>
                  <a:sysClr val="windowText" lastClr="000000"/>
                </a:solidFill>
                <a:latin typeface="Arial Nova" panose="020B0504020202020204" pitchFamily="34" charset="0"/>
              </a:defRPr>
            </a:pPr>
            <a:r>
              <a:rPr lang="en-GB" sz="1100" b="1" i="0" baseline="0">
                <a:solidFill>
                  <a:sysClr val="windowText" lastClr="000000"/>
                </a:solidFill>
                <a:effectLst/>
                <a:latin typeface="Arial Nova" panose="020B0504020202020204" pitchFamily="34" charset="0"/>
              </a:rPr>
              <a:t>Rates of RJAH Total Hip Replacement Surgery SSIs Reported on the Surgical Site Infections Surveillance Service per Qtr  </a:t>
            </a:r>
            <a:endParaRPr lang="en-GB" sz="1100">
              <a:solidFill>
                <a:sysClr val="windowText" lastClr="000000"/>
              </a:solidFill>
              <a:effectLst/>
              <a:latin typeface="Arial Nova" panose="020B0504020202020204" pitchFamily="34" charset="0"/>
            </a:endParaRPr>
          </a:p>
        </c:rich>
      </c:tx>
      <c:layout>
        <c:manualLayout>
          <c:xMode val="edge"/>
          <c:yMode val="edge"/>
          <c:x val="0.12473309011100601"/>
          <c:y val="6.361891330747836E-3"/>
        </c:manualLayout>
      </c:layout>
      <c:overlay val="0"/>
    </c:title>
    <c:autoTitleDeleted val="0"/>
    <c:plotArea>
      <c:layout/>
      <c:lineChart>
        <c:grouping val="standard"/>
        <c:varyColors val="0"/>
        <c:ser>
          <c:idx val="0"/>
          <c:order val="0"/>
          <c:tx>
            <c:strRef>
              <c:f>'SSI SPC - THR 2'!$B$3</c:f>
              <c:strCache>
                <c:ptCount val="1"/>
                <c:pt idx="0">
                  <c:v>Rate Hips</c:v>
                </c:pt>
              </c:strCache>
            </c:strRef>
          </c:tx>
          <c:spPr>
            <a:ln>
              <a:solidFill>
                <a:srgbClr val="C00000"/>
              </a:solidFill>
            </a:ln>
          </c:spPr>
          <c:marker>
            <c:spPr>
              <a:noFill/>
              <a:ln>
                <a:solidFill>
                  <a:srgbClr val="C00000"/>
                </a:solidFill>
              </a:ln>
            </c:spPr>
          </c:marker>
          <c:cat>
            <c:strRef>
              <c:f>'SSI SPC - THR 2'!$A$4:$A$24</c:f>
              <c:strCache>
                <c:ptCount val="16"/>
                <c:pt idx="0">
                  <c:v>Jan - Mar 19</c:v>
                </c:pt>
                <c:pt idx="1">
                  <c:v>Apr - Jun 19</c:v>
                </c:pt>
                <c:pt idx="2">
                  <c:v>Jul - Sep 19</c:v>
                </c:pt>
                <c:pt idx="3">
                  <c:v>Oct-Dec 19</c:v>
                </c:pt>
                <c:pt idx="4">
                  <c:v>Jan - Mar 20</c:v>
                </c:pt>
                <c:pt idx="5">
                  <c:v>Apr - June 20</c:v>
                </c:pt>
                <c:pt idx="6">
                  <c:v>Jul - Sept 20</c:v>
                </c:pt>
                <c:pt idx="7">
                  <c:v>Oct - Dec 20</c:v>
                </c:pt>
                <c:pt idx="8">
                  <c:v>Jan - Mar 21</c:v>
                </c:pt>
                <c:pt idx="9">
                  <c:v>Apr - Jun 21</c:v>
                </c:pt>
                <c:pt idx="10">
                  <c:v>Jul - Sept 21</c:v>
                </c:pt>
                <c:pt idx="11">
                  <c:v>Oct - Dec 21</c:v>
                </c:pt>
                <c:pt idx="12">
                  <c:v>Jan - Mar 22</c:v>
                </c:pt>
                <c:pt idx="13">
                  <c:v>Apr - Jun 22</c:v>
                </c:pt>
                <c:pt idx="14">
                  <c:v>Jul - Sep 22</c:v>
                </c:pt>
                <c:pt idx="15">
                  <c:v>Oct - Dec 22</c:v>
                </c:pt>
              </c:strCache>
              <c:extLst/>
            </c:strRef>
          </c:cat>
          <c:val>
            <c:numRef>
              <c:f>'SSI SPC - THR 2'!$B$4:$B$24</c:f>
              <c:numCache>
                <c:formatCode>General</c:formatCode>
                <c:ptCount val="16"/>
                <c:pt idx="0">
                  <c:v>0.7</c:v>
                </c:pt>
                <c:pt idx="1">
                  <c:v>0.7</c:v>
                </c:pt>
                <c:pt idx="2">
                  <c:v>0.9</c:v>
                </c:pt>
                <c:pt idx="3">
                  <c:v>0.2</c:v>
                </c:pt>
                <c:pt idx="4">
                  <c:v>0.9</c:v>
                </c:pt>
                <c:pt idx="5">
                  <c:v>0</c:v>
                </c:pt>
                <c:pt idx="6">
                  <c:v>0</c:v>
                </c:pt>
                <c:pt idx="7">
                  <c:v>0.3</c:v>
                </c:pt>
                <c:pt idx="8">
                  <c:v>0</c:v>
                </c:pt>
                <c:pt idx="9">
                  <c:v>0.6</c:v>
                </c:pt>
                <c:pt idx="10">
                  <c:v>1</c:v>
                </c:pt>
                <c:pt idx="11">
                  <c:v>0.3</c:v>
                </c:pt>
                <c:pt idx="12">
                  <c:v>1.3</c:v>
                </c:pt>
                <c:pt idx="13">
                  <c:v>1</c:v>
                </c:pt>
                <c:pt idx="14">
                  <c:v>2.2999999999999998</c:v>
                </c:pt>
                <c:pt idx="15" formatCode="0.0">
                  <c:v>0.47095761381475665</c:v>
                </c:pt>
              </c:numCache>
              <c:extLst/>
            </c:numRef>
          </c:val>
          <c:smooth val="0"/>
          <c:extLst>
            <c:ext xmlns:c16="http://schemas.microsoft.com/office/drawing/2014/chart" uri="{C3380CC4-5D6E-409C-BE32-E72D297353CC}">
              <c16:uniqueId val="{00000000-A300-4885-A031-1141BB5D64E9}"/>
            </c:ext>
          </c:extLst>
        </c:ser>
        <c:ser>
          <c:idx val="1"/>
          <c:order val="1"/>
          <c:tx>
            <c:strRef>
              <c:f>'SSI SPC - THR 2'!$G$3</c:f>
              <c:strCache>
                <c:ptCount val="1"/>
                <c:pt idx="0">
                  <c:v>Lower Control Limit</c:v>
                </c:pt>
              </c:strCache>
            </c:strRef>
          </c:tx>
          <c:spPr>
            <a:ln>
              <a:solidFill>
                <a:srgbClr val="0070C0"/>
              </a:solidFill>
            </a:ln>
          </c:spPr>
          <c:marker>
            <c:spPr>
              <a:solidFill>
                <a:srgbClr val="0070C0"/>
              </a:solidFill>
              <a:ln>
                <a:solidFill>
                  <a:srgbClr val="0070C0"/>
                </a:solidFill>
              </a:ln>
            </c:spPr>
          </c:marker>
          <c:cat>
            <c:strRef>
              <c:f>'SSI SPC - THR 2'!$A$4:$A$24</c:f>
              <c:strCache>
                <c:ptCount val="16"/>
                <c:pt idx="0">
                  <c:v>Jan - Mar 19</c:v>
                </c:pt>
                <c:pt idx="1">
                  <c:v>Apr - Jun 19</c:v>
                </c:pt>
                <c:pt idx="2">
                  <c:v>Jul - Sep 19</c:v>
                </c:pt>
                <c:pt idx="3">
                  <c:v>Oct-Dec 19</c:v>
                </c:pt>
                <c:pt idx="4">
                  <c:v>Jan - Mar 20</c:v>
                </c:pt>
                <c:pt idx="5">
                  <c:v>Apr - June 20</c:v>
                </c:pt>
                <c:pt idx="6">
                  <c:v>Jul - Sept 20</c:v>
                </c:pt>
                <c:pt idx="7">
                  <c:v>Oct - Dec 20</c:v>
                </c:pt>
                <c:pt idx="8">
                  <c:v>Jan - Mar 21</c:v>
                </c:pt>
                <c:pt idx="9">
                  <c:v>Apr - Jun 21</c:v>
                </c:pt>
                <c:pt idx="10">
                  <c:v>Jul - Sept 21</c:v>
                </c:pt>
                <c:pt idx="11">
                  <c:v>Oct - Dec 21</c:v>
                </c:pt>
                <c:pt idx="12">
                  <c:v>Jan - Mar 22</c:v>
                </c:pt>
                <c:pt idx="13">
                  <c:v>Apr - Jun 22</c:v>
                </c:pt>
                <c:pt idx="14">
                  <c:v>Jul - Sep 22</c:v>
                </c:pt>
                <c:pt idx="15">
                  <c:v>Oct - Dec 22</c:v>
                </c:pt>
              </c:strCache>
              <c:extLst/>
            </c:strRef>
          </c:cat>
          <c:val>
            <c:numRef>
              <c:f>'SSI SPC - THR 2'!$G$4:$G$24</c:f>
              <c:numCache>
                <c:formatCode>0.00</c:formatCode>
                <c:ptCount val="16"/>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numCache>
              <c:extLst/>
            </c:numRef>
          </c:val>
          <c:smooth val="0"/>
          <c:extLst>
            <c:ext xmlns:c16="http://schemas.microsoft.com/office/drawing/2014/chart" uri="{C3380CC4-5D6E-409C-BE32-E72D297353CC}">
              <c16:uniqueId val="{00000001-A300-4885-A031-1141BB5D64E9}"/>
            </c:ext>
          </c:extLst>
        </c:ser>
        <c:ser>
          <c:idx val="2"/>
          <c:order val="2"/>
          <c:tx>
            <c:strRef>
              <c:f>'SSI SPC - THR 2'!$H$3</c:f>
              <c:strCache>
                <c:ptCount val="1"/>
                <c:pt idx="0">
                  <c:v>Upper Control Limit</c:v>
                </c:pt>
              </c:strCache>
            </c:strRef>
          </c:tx>
          <c:cat>
            <c:strRef>
              <c:f>'SSI SPC - THR 2'!$A$4:$A$24</c:f>
              <c:strCache>
                <c:ptCount val="16"/>
                <c:pt idx="0">
                  <c:v>Jan - Mar 19</c:v>
                </c:pt>
                <c:pt idx="1">
                  <c:v>Apr - Jun 19</c:v>
                </c:pt>
                <c:pt idx="2">
                  <c:v>Jul - Sep 19</c:v>
                </c:pt>
                <c:pt idx="3">
                  <c:v>Oct-Dec 19</c:v>
                </c:pt>
                <c:pt idx="4">
                  <c:v>Jan - Mar 20</c:v>
                </c:pt>
                <c:pt idx="5">
                  <c:v>Apr - June 20</c:v>
                </c:pt>
                <c:pt idx="6">
                  <c:v>Jul - Sept 20</c:v>
                </c:pt>
                <c:pt idx="7">
                  <c:v>Oct - Dec 20</c:v>
                </c:pt>
                <c:pt idx="8">
                  <c:v>Jan - Mar 21</c:v>
                </c:pt>
                <c:pt idx="9">
                  <c:v>Apr - Jun 21</c:v>
                </c:pt>
                <c:pt idx="10">
                  <c:v>Jul - Sept 21</c:v>
                </c:pt>
                <c:pt idx="11">
                  <c:v>Oct - Dec 21</c:v>
                </c:pt>
                <c:pt idx="12">
                  <c:v>Jan - Mar 22</c:v>
                </c:pt>
                <c:pt idx="13">
                  <c:v>Apr - Jun 22</c:v>
                </c:pt>
                <c:pt idx="14">
                  <c:v>Jul - Sep 22</c:v>
                </c:pt>
                <c:pt idx="15">
                  <c:v>Oct - Dec 22</c:v>
                </c:pt>
              </c:strCache>
              <c:extLst/>
            </c:strRef>
          </c:cat>
          <c:val>
            <c:numRef>
              <c:f>'SSI SPC - THR 2'!$H$4:$H$24</c:f>
              <c:numCache>
                <c:formatCode>0.00</c:formatCode>
                <c:ptCount val="16"/>
                <c:pt idx="0">
                  <c:v>1.5731999999999999</c:v>
                </c:pt>
                <c:pt idx="1">
                  <c:v>1.5731999999999999</c:v>
                </c:pt>
                <c:pt idx="2">
                  <c:v>1.5731999999999999</c:v>
                </c:pt>
                <c:pt idx="3">
                  <c:v>1.5731999999999999</c:v>
                </c:pt>
                <c:pt idx="4">
                  <c:v>1.5731999999999999</c:v>
                </c:pt>
                <c:pt idx="5">
                  <c:v>1.5731999999999999</c:v>
                </c:pt>
                <c:pt idx="6">
                  <c:v>1.5731999999999999</c:v>
                </c:pt>
                <c:pt idx="7">
                  <c:v>1.5731999999999999</c:v>
                </c:pt>
                <c:pt idx="8">
                  <c:v>1.5731999999999999</c:v>
                </c:pt>
                <c:pt idx="9">
                  <c:v>1.5731999999999999</c:v>
                </c:pt>
                <c:pt idx="10">
                  <c:v>1.5731999999999999</c:v>
                </c:pt>
                <c:pt idx="11">
                  <c:v>1.5731999999999999</c:v>
                </c:pt>
                <c:pt idx="12">
                  <c:v>1.5731999999999999</c:v>
                </c:pt>
                <c:pt idx="13">
                  <c:v>1.5731999999999999</c:v>
                </c:pt>
                <c:pt idx="14">
                  <c:v>1.5731999999999999</c:v>
                </c:pt>
                <c:pt idx="15">
                  <c:v>1.5731999999999999</c:v>
                </c:pt>
              </c:numCache>
              <c:extLst/>
            </c:numRef>
          </c:val>
          <c:smooth val="0"/>
          <c:extLst>
            <c:ext xmlns:c16="http://schemas.microsoft.com/office/drawing/2014/chart" uri="{C3380CC4-5D6E-409C-BE32-E72D297353CC}">
              <c16:uniqueId val="{00000002-A300-4885-A031-1141BB5D64E9}"/>
            </c:ext>
          </c:extLst>
        </c:ser>
        <c:dLbls>
          <c:showLegendKey val="0"/>
          <c:showVal val="0"/>
          <c:showCatName val="0"/>
          <c:showSerName val="0"/>
          <c:showPercent val="0"/>
          <c:showBubbleSize val="0"/>
        </c:dLbls>
        <c:marker val="1"/>
        <c:smooth val="0"/>
        <c:axId val="159768960"/>
        <c:axId val="159770496"/>
      </c:lineChart>
      <c:catAx>
        <c:axId val="159768960"/>
        <c:scaling>
          <c:orientation val="minMax"/>
        </c:scaling>
        <c:delete val="0"/>
        <c:axPos val="b"/>
        <c:numFmt formatCode="General" sourceLinked="0"/>
        <c:majorTickMark val="none"/>
        <c:minorTickMark val="none"/>
        <c:tickLblPos val="nextTo"/>
        <c:spPr>
          <a:ln w="3175"/>
        </c:spPr>
        <c:txPr>
          <a:bodyPr rot="5400000" vert="horz"/>
          <a:lstStyle/>
          <a:p>
            <a:pPr>
              <a:defRPr sz="800">
                <a:latin typeface="Arial Nova" panose="020B0504020202020204" pitchFamily="34" charset="0"/>
              </a:defRPr>
            </a:pPr>
            <a:endParaRPr lang="en-US"/>
          </a:p>
        </c:txPr>
        <c:crossAx val="159770496"/>
        <c:crosses val="autoZero"/>
        <c:auto val="1"/>
        <c:lblAlgn val="ctr"/>
        <c:lblOffset val="100"/>
        <c:noMultiLvlLbl val="0"/>
      </c:catAx>
      <c:valAx>
        <c:axId val="159770496"/>
        <c:scaling>
          <c:orientation val="minMax"/>
        </c:scaling>
        <c:delete val="0"/>
        <c:axPos val="l"/>
        <c:majorGridlines/>
        <c:title>
          <c:tx>
            <c:rich>
              <a:bodyPr/>
              <a:lstStyle/>
              <a:p>
                <a:pPr>
                  <a:defRPr>
                    <a:latin typeface="Arial Nova" panose="020B0504020202020204" pitchFamily="34" charset="0"/>
                  </a:defRPr>
                </a:pPr>
                <a:r>
                  <a:rPr lang="en-GB">
                    <a:latin typeface="Arial Nova" panose="020B0504020202020204" pitchFamily="34" charset="0"/>
                  </a:rPr>
                  <a:t>%</a:t>
                </a:r>
                <a:r>
                  <a:rPr lang="en-GB" baseline="0">
                    <a:latin typeface="Arial Nova" panose="020B0504020202020204" pitchFamily="34" charset="0"/>
                  </a:rPr>
                  <a:t> rate</a:t>
                </a:r>
                <a:endParaRPr lang="en-GB">
                  <a:latin typeface="Arial Nova" panose="020B0504020202020204" pitchFamily="34" charset="0"/>
                </a:endParaRPr>
              </a:p>
            </c:rich>
          </c:tx>
          <c:overlay val="0"/>
        </c:title>
        <c:numFmt formatCode="General" sourceLinked="1"/>
        <c:majorTickMark val="none"/>
        <c:minorTickMark val="none"/>
        <c:tickLblPos val="nextTo"/>
        <c:txPr>
          <a:bodyPr/>
          <a:lstStyle/>
          <a:p>
            <a:pPr>
              <a:defRPr sz="800">
                <a:latin typeface="Arial Nova" panose="020B0504020202020204" pitchFamily="34" charset="0"/>
              </a:defRPr>
            </a:pPr>
            <a:endParaRPr lang="en-US"/>
          </a:p>
        </c:txPr>
        <c:crossAx val="159768960"/>
        <c:crosses val="autoZero"/>
        <c:crossBetween val="between"/>
        <c:majorUnit val="0.1"/>
      </c:valAx>
    </c:plotArea>
    <c:legend>
      <c:legendPos val="r"/>
      <c:overlay val="0"/>
      <c:txPr>
        <a:bodyPr/>
        <a:lstStyle/>
        <a:p>
          <a:pPr>
            <a:defRPr sz="800">
              <a:latin typeface="Arial Nova" panose="020B05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Arial Nova" panose="020B0504020202020204" pitchFamily="34" charset="0"/>
                <a:ea typeface="+mn-ea"/>
                <a:cs typeface="+mn-cs"/>
              </a:defRPr>
            </a:pPr>
            <a:r>
              <a:rPr lang="en-GB" sz="1050" b="1">
                <a:solidFill>
                  <a:sysClr val="windowText" lastClr="000000"/>
                </a:solidFill>
                <a:latin typeface="Arial Nova" panose="020B0504020202020204" pitchFamily="34" charset="0"/>
              </a:rPr>
              <a:t>Infection</a:t>
            </a:r>
            <a:r>
              <a:rPr lang="en-GB" sz="1050" b="1" baseline="0">
                <a:solidFill>
                  <a:sysClr val="windowText" lastClr="000000"/>
                </a:solidFill>
                <a:latin typeface="Arial Nova" panose="020B0504020202020204" pitchFamily="34" charset="0"/>
              </a:rPr>
              <a:t> Control Training - Combined Staffing Groups    </a:t>
            </a:r>
            <a:endParaRPr lang="en-GB" sz="1050" b="1">
              <a:solidFill>
                <a:sysClr val="windowText" lastClr="000000"/>
              </a:solidFill>
              <a:latin typeface="Arial Nova" panose="020B0504020202020204" pitchFamily="34" charset="0"/>
            </a:endParaRPr>
          </a:p>
        </c:rich>
      </c:tx>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Arial Nova" panose="020B0504020202020204" pitchFamily="34" charset="0"/>
              <a:ea typeface="+mn-ea"/>
              <a:cs typeface="+mn-cs"/>
            </a:defRPr>
          </a:pPr>
          <a:endParaRPr lang="en-US"/>
        </a:p>
      </c:txPr>
    </c:title>
    <c:autoTitleDeleted val="0"/>
    <c:plotArea>
      <c:layout/>
      <c:lineChart>
        <c:grouping val="standard"/>
        <c:varyColors val="0"/>
        <c:ser>
          <c:idx val="21"/>
          <c:order val="21"/>
          <c:tx>
            <c:strRef>
              <c:f>'Data warehouse'!$C$659</c:f>
              <c:strCache>
                <c:ptCount val="1"/>
                <c:pt idx="0">
                  <c:v>AVERAGE</c:v>
                </c:pt>
              </c:strCache>
            </c:strRef>
          </c:tx>
          <c:spPr>
            <a:ln w="28575" cap="rnd">
              <a:solidFill>
                <a:schemeClr val="accent4">
                  <a:lumMod val="80000"/>
                </a:schemeClr>
              </a:solidFill>
              <a:round/>
            </a:ln>
            <a:effectLst/>
          </c:spPr>
          <c:marker>
            <c:symbol val="none"/>
          </c:marker>
          <c:dPt>
            <c:idx val="3"/>
            <c:marker>
              <c:symbol val="none"/>
            </c:marker>
            <c:bubble3D val="0"/>
            <c:spPr>
              <a:ln w="28575" cap="rnd">
                <a:solidFill>
                  <a:schemeClr val="accent4">
                    <a:lumMod val="80000"/>
                  </a:schemeClr>
                </a:solidFill>
                <a:round/>
              </a:ln>
              <a:effectLst/>
            </c:spPr>
            <c:extLst>
              <c:ext xmlns:c16="http://schemas.microsoft.com/office/drawing/2014/chart" uri="{C3380CC4-5D6E-409C-BE32-E72D297353CC}">
                <c16:uniqueId val="{00000001-83C1-4C46-8F6D-4883DFE5F1B7}"/>
              </c:ext>
            </c:extLst>
          </c:dPt>
          <c:dPt>
            <c:idx val="4"/>
            <c:marker>
              <c:symbol val="none"/>
            </c:marker>
            <c:bubble3D val="0"/>
            <c:spPr>
              <a:ln w="28575" cap="rnd">
                <a:solidFill>
                  <a:schemeClr val="accent4">
                    <a:lumMod val="80000"/>
                  </a:schemeClr>
                </a:solidFill>
                <a:round/>
              </a:ln>
              <a:effectLst/>
            </c:spPr>
            <c:extLst>
              <c:ext xmlns:c16="http://schemas.microsoft.com/office/drawing/2014/chart" uri="{C3380CC4-5D6E-409C-BE32-E72D297353CC}">
                <c16:uniqueId val="{00000003-83C1-4C46-8F6D-4883DFE5F1B7}"/>
              </c:ext>
            </c:extLst>
          </c:dPt>
          <c:dPt>
            <c:idx val="5"/>
            <c:marker>
              <c:symbol val="none"/>
            </c:marker>
            <c:bubble3D val="0"/>
            <c:spPr>
              <a:ln w="28575" cap="rnd">
                <a:solidFill>
                  <a:schemeClr val="accent4">
                    <a:lumMod val="80000"/>
                  </a:schemeClr>
                </a:solidFill>
                <a:round/>
              </a:ln>
              <a:effectLst/>
            </c:spPr>
            <c:extLst>
              <c:ext xmlns:c16="http://schemas.microsoft.com/office/drawing/2014/chart" uri="{C3380CC4-5D6E-409C-BE32-E72D297353CC}">
                <c16:uniqueId val="{00000005-83C1-4C46-8F6D-4883DFE5F1B7}"/>
              </c:ext>
            </c:extLst>
          </c:dPt>
          <c:cat>
            <c:strRef>
              <c:f>'Data warehouse'!$F$635:$O$635</c:f>
              <c:strCache>
                <c:ptCount val="10"/>
                <c:pt idx="0">
                  <c:v>Jun-22</c:v>
                </c:pt>
                <c:pt idx="1">
                  <c:v>Jul-22</c:v>
                </c:pt>
                <c:pt idx="2">
                  <c:v>Aug-22</c:v>
                </c:pt>
                <c:pt idx="3">
                  <c:v>Sep-22</c:v>
                </c:pt>
                <c:pt idx="4">
                  <c:v>Oct-22</c:v>
                </c:pt>
                <c:pt idx="5">
                  <c:v>Nov-22</c:v>
                </c:pt>
                <c:pt idx="6">
                  <c:v>Dec-22</c:v>
                </c:pt>
                <c:pt idx="7">
                  <c:v>Jan-23</c:v>
                </c:pt>
                <c:pt idx="8">
                  <c:v>Feb-23</c:v>
                </c:pt>
                <c:pt idx="9">
                  <c:v>Mar-23</c:v>
                </c:pt>
              </c:strCache>
              <c:extLst/>
            </c:strRef>
          </c:cat>
          <c:val>
            <c:numRef>
              <c:f>'Data warehouse'!$F$659:$O$659</c:f>
              <c:numCache>
                <c:formatCode>0%</c:formatCode>
                <c:ptCount val="10"/>
                <c:pt idx="0">
                  <c:v>0.94945543917635644</c:v>
                </c:pt>
                <c:pt idx="1">
                  <c:v>0.96959006708550188</c:v>
                </c:pt>
                <c:pt idx="2">
                  <c:v>0.95512771398241436</c:v>
                </c:pt>
                <c:pt idx="3">
                  <c:v>0.94125453097561118</c:v>
                </c:pt>
                <c:pt idx="4">
                  <c:v>0.93531401537296299</c:v>
                </c:pt>
                <c:pt idx="5">
                  <c:v>0.94400000000000006</c:v>
                </c:pt>
                <c:pt idx="6">
                  <c:v>0.94904545454545441</c:v>
                </c:pt>
                <c:pt idx="7">
                  <c:v>0.9452272727272728</c:v>
                </c:pt>
                <c:pt idx="8">
                  <c:v>0.97490476190476205</c:v>
                </c:pt>
                <c:pt idx="9">
                  <c:v>0.94763636363636372</c:v>
                </c:pt>
              </c:numCache>
              <c:extLst/>
            </c:numRef>
          </c:val>
          <c:smooth val="0"/>
          <c:extLst>
            <c:ext xmlns:c16="http://schemas.microsoft.com/office/drawing/2014/chart" uri="{C3380CC4-5D6E-409C-BE32-E72D297353CC}">
              <c16:uniqueId val="{00000006-83C1-4C46-8F6D-4883DFE5F1B7}"/>
            </c:ext>
          </c:extLst>
        </c:ser>
        <c:ser>
          <c:idx val="0"/>
          <c:order val="0"/>
          <c:tx>
            <c:strRef>
              <c:f>'Data warehouse'!$C$636</c:f>
              <c:strCache>
                <c:ptCount val="1"/>
                <c:pt idx="0">
                  <c:v>Target</c:v>
                </c:pt>
              </c:strCache>
            </c:strRef>
          </c:tx>
          <c:spPr>
            <a:ln w="25400" cap="rnd">
              <a:solidFill>
                <a:srgbClr val="FF0000"/>
              </a:solidFill>
              <a:round/>
            </a:ln>
            <a:effectLst/>
          </c:spPr>
          <c:marker>
            <c:symbol val="none"/>
          </c:marker>
          <c:cat>
            <c:strRef>
              <c:f>'Data warehouse'!$F$635:$O$635</c:f>
              <c:strCache>
                <c:ptCount val="10"/>
                <c:pt idx="0">
                  <c:v>Jun-22</c:v>
                </c:pt>
                <c:pt idx="1">
                  <c:v>Jul-22</c:v>
                </c:pt>
                <c:pt idx="2">
                  <c:v>Aug-22</c:v>
                </c:pt>
                <c:pt idx="3">
                  <c:v>Sep-22</c:v>
                </c:pt>
                <c:pt idx="4">
                  <c:v>Oct-22</c:v>
                </c:pt>
                <c:pt idx="5">
                  <c:v>Nov-22</c:v>
                </c:pt>
                <c:pt idx="6">
                  <c:v>Dec-22</c:v>
                </c:pt>
                <c:pt idx="7">
                  <c:v>Jan-23</c:v>
                </c:pt>
                <c:pt idx="8">
                  <c:v>Feb-23</c:v>
                </c:pt>
                <c:pt idx="9">
                  <c:v>Mar-23</c:v>
                </c:pt>
              </c:strCache>
              <c:extLst/>
            </c:strRef>
          </c:cat>
          <c:val>
            <c:numRef>
              <c:f>'Data warehouse'!$F$636:$O$636</c:f>
              <c:numCache>
                <c:formatCode>0%</c:formatCode>
                <c:ptCount val="10"/>
                <c:pt idx="0">
                  <c:v>0.92</c:v>
                </c:pt>
                <c:pt idx="1">
                  <c:v>0.92</c:v>
                </c:pt>
                <c:pt idx="2">
                  <c:v>0.92</c:v>
                </c:pt>
                <c:pt idx="3">
                  <c:v>0.92</c:v>
                </c:pt>
                <c:pt idx="4">
                  <c:v>0.92</c:v>
                </c:pt>
                <c:pt idx="5">
                  <c:v>0.92</c:v>
                </c:pt>
                <c:pt idx="6">
                  <c:v>0.92</c:v>
                </c:pt>
                <c:pt idx="7">
                  <c:v>0.92</c:v>
                </c:pt>
                <c:pt idx="8">
                  <c:v>0.92</c:v>
                </c:pt>
                <c:pt idx="9">
                  <c:v>0.92</c:v>
                </c:pt>
              </c:numCache>
              <c:extLst/>
            </c:numRef>
          </c:val>
          <c:smooth val="0"/>
          <c:extLst>
            <c:ext xmlns:c16="http://schemas.microsoft.com/office/drawing/2014/chart" uri="{C3380CC4-5D6E-409C-BE32-E72D297353CC}">
              <c16:uniqueId val="{00000007-83C1-4C46-8F6D-4883DFE5F1B7}"/>
            </c:ext>
          </c:extLst>
        </c:ser>
        <c:dLbls>
          <c:showLegendKey val="0"/>
          <c:showVal val="0"/>
          <c:showCatName val="0"/>
          <c:showSerName val="0"/>
          <c:showPercent val="0"/>
          <c:showBubbleSize val="0"/>
        </c:dLbls>
        <c:smooth val="0"/>
        <c:axId val="538082928"/>
        <c:axId val="538075440"/>
        <c:extLst>
          <c:ext xmlns:c15="http://schemas.microsoft.com/office/drawing/2012/chart" uri="{02D57815-91ED-43cb-92C2-25804820EDAC}">
            <c15:filteredLineSeries>
              <c15:ser>
                <c:idx val="1"/>
                <c:order val="1"/>
                <c:tx>
                  <c:strRef>
                    <c:extLst>
                      <c:ext uri="{02D57815-91ED-43cb-92C2-25804820EDAC}">
                        <c15:formulaRef>
                          <c15:sqref>'Data warehouse'!$C$637</c15:sqref>
                        </c15:formulaRef>
                      </c:ext>
                    </c:extLst>
                    <c:strCache>
                      <c:ptCount val="1"/>
                      <c:pt idx="0">
                        <c:v> Orthotics</c:v>
                      </c:pt>
                    </c:strCache>
                  </c:strRef>
                </c:tx>
                <c:spPr>
                  <a:ln w="28575" cap="rnd">
                    <a:solidFill>
                      <a:schemeClr val="accent2"/>
                    </a:solidFill>
                    <a:round/>
                  </a:ln>
                  <a:effectLst/>
                </c:spPr>
                <c:marker>
                  <c:symbol val="none"/>
                </c:marker>
                <c:cat>
                  <c:strRef>
                    <c:extLst>
                      <c:ext uri="{02D57815-91ED-43cb-92C2-25804820EDAC}">
                        <c15:formulaRef>
                          <c15:sqref>'Data warehouse'!$F$635:$O$635</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c:ext uri="{02D57815-91ED-43cb-92C2-25804820EDAC}">
                        <c15:formulaRef>
                          <c15:sqref>'Data warehouse'!$F$637:$O$637</c15:sqref>
                        </c15:formulaRef>
                      </c:ext>
                    </c:extLst>
                    <c:numCache>
                      <c:formatCode>0%</c:formatCode>
                      <c:ptCount val="10"/>
                      <c:pt idx="0">
                        <c:v>0.91176470588235292</c:v>
                      </c:pt>
                      <c:pt idx="1">
                        <c:v>0.94117647058823528</c:v>
                      </c:pt>
                      <c:pt idx="2">
                        <c:v>0.94117647058823528</c:v>
                      </c:pt>
                      <c:pt idx="3">
                        <c:v>0.91304347826086951</c:v>
                      </c:pt>
                      <c:pt idx="4">
                        <c:v>0.96551724137931039</c:v>
                      </c:pt>
                      <c:pt idx="5">
                        <c:v>0.875</c:v>
                      </c:pt>
                      <c:pt idx="6">
                        <c:v>0.90900000000000003</c:v>
                      </c:pt>
                      <c:pt idx="7">
                        <c:v>0.90300000000000002</c:v>
                      </c:pt>
                      <c:pt idx="8">
                        <c:v>0.90300000000000002</c:v>
                      </c:pt>
                      <c:pt idx="9">
                        <c:v>0.90300000000000002</c:v>
                      </c:pt>
                    </c:numCache>
                  </c:numRef>
                </c:val>
                <c:smooth val="0"/>
                <c:extLst>
                  <c:ext xmlns:c16="http://schemas.microsoft.com/office/drawing/2014/chart" uri="{C3380CC4-5D6E-409C-BE32-E72D297353CC}">
                    <c16:uniqueId val="{00000008-83C1-4C46-8F6D-4883DFE5F1B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'Data warehouse'!$C$639</c15:sqref>
                        </c15:formulaRef>
                      </c:ext>
                    </c:extLst>
                    <c:strCache>
                      <c:ptCount val="1"/>
                      <c:pt idx="0">
                        <c:v> Pharmacy</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warehouse'!$F$635:$O$635</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warehouse'!$F$639:$O$639</c15:sqref>
                        </c15:formulaRef>
                      </c:ext>
                    </c:extLst>
                    <c:numCache>
                      <c:formatCode>0%</c:formatCode>
                      <c:ptCount val="10"/>
                      <c:pt idx="0">
                        <c:v>0.96666666666666667</c:v>
                      </c:pt>
                      <c:pt idx="1">
                        <c:v>0.9642857142857143</c:v>
                      </c:pt>
                      <c:pt idx="2">
                        <c:v>0.96551724137931039</c:v>
                      </c:pt>
                      <c:pt idx="3">
                        <c:v>1</c:v>
                      </c:pt>
                      <c:pt idx="4">
                        <c:v>0.875</c:v>
                      </c:pt>
                      <c:pt idx="5">
                        <c:v>1</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09-83C1-4C46-8F6D-4883DFE5F1B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'Data warehouse'!$C$640</c15:sqref>
                        </c15:formulaRef>
                      </c:ext>
                    </c:extLst>
                    <c:strCache>
                      <c:ptCount val="1"/>
                      <c:pt idx="0">
                        <c:v> Radiology </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warehouse'!$F$635:$O$635</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warehouse'!$F$640:$O$640</c15:sqref>
                        </c15:formulaRef>
                      </c:ext>
                    </c:extLst>
                    <c:numCache>
                      <c:formatCode>0%</c:formatCode>
                      <c:ptCount val="10"/>
                      <c:pt idx="0">
                        <c:v>0.81818181818181823</c:v>
                      </c:pt>
                      <c:pt idx="1">
                        <c:v>1</c:v>
                      </c:pt>
                      <c:pt idx="2">
                        <c:v>0.9</c:v>
                      </c:pt>
                      <c:pt idx="3">
                        <c:v>0.8910891089108911</c:v>
                      </c:pt>
                      <c:pt idx="4">
                        <c:v>0.86363636363636365</c:v>
                      </c:pt>
                      <c:pt idx="5">
                        <c:v>0.8</c:v>
                      </c:pt>
                      <c:pt idx="6">
                        <c:v>0.9</c:v>
                      </c:pt>
                      <c:pt idx="7">
                        <c:v>1</c:v>
                      </c:pt>
                      <c:pt idx="8">
                        <c:v>0.88900000000000001</c:v>
                      </c:pt>
                      <c:pt idx="9">
                        <c:v>0.89900000000000002</c:v>
                      </c:pt>
                    </c:numCache>
                  </c:numRef>
                </c:val>
                <c:smooth val="0"/>
                <c:extLst xmlns:c15="http://schemas.microsoft.com/office/drawing/2012/chart">
                  <c:ext xmlns:c16="http://schemas.microsoft.com/office/drawing/2014/chart" uri="{C3380CC4-5D6E-409C-BE32-E72D297353CC}">
                    <c16:uniqueId val="{0000000A-83C1-4C46-8F6D-4883DFE5F1B7}"/>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'Data warehouse'!$C$641</c15:sqref>
                        </c15:formulaRef>
                      </c:ext>
                    </c:extLst>
                    <c:strCache>
                      <c:ptCount val="1"/>
                      <c:pt idx="0">
                        <c:v> Therapies</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warehouse'!$F$635:$O$635</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warehouse'!$F$641:$O$641</c15:sqref>
                        </c15:formulaRef>
                      </c:ext>
                    </c:extLst>
                    <c:numCache>
                      <c:formatCode>0%</c:formatCode>
                      <c:ptCount val="10"/>
                      <c:pt idx="0">
                        <c:v>0.91397849462365588</c:v>
                      </c:pt>
                      <c:pt idx="1">
                        <c:v>0.88888888888888884</c:v>
                      </c:pt>
                      <c:pt idx="2">
                        <c:v>0.86138613861386137</c:v>
                      </c:pt>
                      <c:pt idx="3">
                        <c:v>0.9</c:v>
                      </c:pt>
                      <c:pt idx="4">
                        <c:v>1</c:v>
                      </c:pt>
                      <c:pt idx="5">
                        <c:v>0.90900000000000003</c:v>
                      </c:pt>
                      <c:pt idx="6">
                        <c:v>1</c:v>
                      </c:pt>
                      <c:pt idx="7">
                        <c:v>0.90900000000000003</c:v>
                      </c:pt>
                      <c:pt idx="8">
                        <c:v>1</c:v>
                      </c:pt>
                      <c:pt idx="9">
                        <c:v>1</c:v>
                      </c:pt>
                    </c:numCache>
                  </c:numRef>
                </c:val>
                <c:smooth val="0"/>
                <c:extLst xmlns:c15="http://schemas.microsoft.com/office/drawing/2012/chart">
                  <c:ext xmlns:c16="http://schemas.microsoft.com/office/drawing/2014/chart" uri="{C3380CC4-5D6E-409C-BE32-E72D297353CC}">
                    <c16:uniqueId val="{0000000B-83C1-4C46-8F6D-4883DFE5F1B7}"/>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'Data warehouse'!$C$642</c15:sqref>
                        </c15:formulaRef>
                      </c:ext>
                    </c:extLst>
                    <c:strCache>
                      <c:ptCount val="1"/>
                      <c:pt idx="0">
                        <c:v> Baschurch Day Unit</c:v>
                      </c:pt>
                    </c:strCache>
                  </c:strRef>
                </c:tx>
                <c:spPr>
                  <a:ln w="28575"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warehouse'!$F$635:$O$635</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warehouse'!$F$642:$O$642</c15:sqref>
                        </c15:formulaRef>
                      </c:ext>
                    </c:extLst>
                    <c:numCache>
                      <c:formatCode>0%</c:formatCode>
                      <c:ptCount val="10"/>
                      <c:pt idx="0">
                        <c:v>0.96666666666666667</c:v>
                      </c:pt>
                      <c:pt idx="1">
                        <c:v>1</c:v>
                      </c:pt>
                      <c:pt idx="2">
                        <c:v>0.967741935483871</c:v>
                      </c:pt>
                      <c:pt idx="3">
                        <c:v>0.92307692307692313</c:v>
                      </c:pt>
                      <c:pt idx="4">
                        <c:v>0.96</c:v>
                      </c:pt>
                      <c:pt idx="5">
                        <c:v>1</c:v>
                      </c:pt>
                      <c:pt idx="6">
                        <c:v>0.96599999999999997</c:v>
                      </c:pt>
                      <c:pt idx="7">
                        <c:v>1</c:v>
                      </c:pt>
                      <c:pt idx="8">
                        <c:v>0.96599999999999997</c:v>
                      </c:pt>
                      <c:pt idx="9">
                        <c:v>0.96599999999999997</c:v>
                      </c:pt>
                    </c:numCache>
                  </c:numRef>
                </c:val>
                <c:smooth val="0"/>
                <c:extLst xmlns:c15="http://schemas.microsoft.com/office/drawing/2012/chart">
                  <c:ext xmlns:c16="http://schemas.microsoft.com/office/drawing/2014/chart" uri="{C3380CC4-5D6E-409C-BE32-E72D297353CC}">
                    <c16:uniqueId val="{0000000C-83C1-4C46-8F6D-4883DFE5F1B7}"/>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'Data warehouse'!$C$643</c15:sqref>
                        </c15:formulaRef>
                      </c:ext>
                    </c:extLst>
                    <c:strCache>
                      <c:ptCount val="1"/>
                      <c:pt idx="0">
                        <c:v> Clwyd Ward</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warehouse'!$F$635:$O$635</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warehouse'!$F$643:$O$643</c15:sqref>
                        </c15:formulaRef>
                      </c:ext>
                    </c:extLst>
                    <c:numCache>
                      <c:formatCode>0%</c:formatCode>
                      <c:ptCount val="10"/>
                      <c:pt idx="0">
                        <c:v>1</c:v>
                      </c:pt>
                      <c:pt idx="1">
                        <c:v>0.96153846153846156</c:v>
                      </c:pt>
                      <c:pt idx="2">
                        <c:v>0.96296296296296291</c:v>
                      </c:pt>
                      <c:pt idx="3">
                        <c:v>0.91666666666666663</c:v>
                      </c:pt>
                      <c:pt idx="4">
                        <c:v>0.95652173913043481</c:v>
                      </c:pt>
                      <c:pt idx="5">
                        <c:v>1</c:v>
                      </c:pt>
                      <c:pt idx="6">
                        <c:v>0.95499999999999996</c:v>
                      </c:pt>
                      <c:pt idx="7">
                        <c:v>0.95699999999999996</c:v>
                      </c:pt>
                      <c:pt idx="8">
                        <c:v>0.95699999999999996</c:v>
                      </c:pt>
                      <c:pt idx="9">
                        <c:v>0.95699999999999996</c:v>
                      </c:pt>
                    </c:numCache>
                  </c:numRef>
                </c:val>
                <c:smooth val="0"/>
                <c:extLst xmlns:c15="http://schemas.microsoft.com/office/drawing/2012/chart">
                  <c:ext xmlns:c16="http://schemas.microsoft.com/office/drawing/2014/chart" uri="{C3380CC4-5D6E-409C-BE32-E72D297353CC}">
                    <c16:uniqueId val="{0000000D-83C1-4C46-8F6D-4883DFE5F1B7}"/>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'Data warehouse'!$C$644</c15:sqref>
                        </c15:formulaRef>
                      </c:ext>
                    </c:extLst>
                    <c:strCache>
                      <c:ptCount val="1"/>
                      <c:pt idx="0">
                        <c:v> HDU</c:v>
                      </c:pt>
                    </c:strCache>
                  </c:strRef>
                </c:tx>
                <c:spPr>
                  <a:ln w="28575" cap="rnd">
                    <a:solidFill>
                      <a:schemeClr val="accent2">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warehouse'!$F$635:$O$635</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warehouse'!$F$644:$O$644</c15:sqref>
                        </c15:formulaRef>
                      </c:ext>
                    </c:extLst>
                    <c:numCache>
                      <c:formatCode>0%</c:formatCode>
                      <c:ptCount val="10"/>
                      <c:pt idx="0">
                        <c:v>0.91666666666666663</c:v>
                      </c:pt>
                      <c:pt idx="1">
                        <c:v>0.95833333333333337</c:v>
                      </c:pt>
                      <c:pt idx="2">
                        <c:v>0.91666666666666663</c:v>
                      </c:pt>
                      <c:pt idx="3">
                        <c:v>0.95833333333333337</c:v>
                      </c:pt>
                      <c:pt idx="4">
                        <c:v>0.8</c:v>
                      </c:pt>
                      <c:pt idx="5">
                        <c:v>0.875</c:v>
                      </c:pt>
                      <c:pt idx="6">
                        <c:v>0.84599999999999997</c:v>
                      </c:pt>
                      <c:pt idx="7">
                        <c:v>0.88500000000000001</c:v>
                      </c:pt>
                      <c:pt idx="8">
                        <c:v>0.88</c:v>
                      </c:pt>
                      <c:pt idx="9">
                        <c:v>0.88</c:v>
                      </c:pt>
                    </c:numCache>
                  </c:numRef>
                </c:val>
                <c:smooth val="0"/>
                <c:extLst xmlns:c15="http://schemas.microsoft.com/office/drawing/2012/chart">
                  <c:ext xmlns:c16="http://schemas.microsoft.com/office/drawing/2014/chart" uri="{C3380CC4-5D6E-409C-BE32-E72D297353CC}">
                    <c16:uniqueId val="{0000000E-83C1-4C46-8F6D-4883DFE5F1B7}"/>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'Data warehouse'!$C$645</c15:sqref>
                        </c15:formulaRef>
                      </c:ext>
                    </c:extLst>
                    <c:strCache>
                      <c:ptCount val="1"/>
                      <c:pt idx="0">
                        <c:v> Kenyon Ward</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warehouse'!$F$635:$O$635</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warehouse'!$F$645:$O$645</c15:sqref>
                        </c15:formulaRef>
                      </c:ext>
                    </c:extLst>
                    <c:numCache>
                      <c:formatCode>0%</c:formatCode>
                      <c:ptCount val="10"/>
                      <c:pt idx="0">
                        <c:v>1</c:v>
                      </c:pt>
                      <c:pt idx="1">
                        <c:v>1</c:v>
                      </c:pt>
                      <c:pt idx="2">
                        <c:v>0.96153846153846156</c:v>
                      </c:pt>
                      <c:pt idx="3">
                        <c:v>1</c:v>
                      </c:pt>
                      <c:pt idx="4">
                        <c:v>0.84615384615384615</c:v>
                      </c:pt>
                      <c:pt idx="5">
                        <c:v>0.96</c:v>
                      </c:pt>
                      <c:pt idx="6">
                        <c:v>0.95199999999999996</c:v>
                      </c:pt>
                      <c:pt idx="7">
                        <c:v>0.91700000000000004</c:v>
                      </c:pt>
                      <c:pt idx="8">
                        <c:v>0.92</c:v>
                      </c:pt>
                      <c:pt idx="9">
                        <c:v>0.92</c:v>
                      </c:pt>
                    </c:numCache>
                  </c:numRef>
                </c:val>
                <c:smooth val="0"/>
                <c:extLst xmlns:c15="http://schemas.microsoft.com/office/drawing/2012/chart">
                  <c:ext xmlns:c16="http://schemas.microsoft.com/office/drawing/2014/chart" uri="{C3380CC4-5D6E-409C-BE32-E72D297353CC}">
                    <c16:uniqueId val="{0000000F-83C1-4C46-8F6D-4883DFE5F1B7}"/>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'Data warehouse'!$C$646</c15:sqref>
                        </c15:formulaRef>
                      </c:ext>
                    </c:extLst>
                    <c:strCache>
                      <c:ptCount val="1"/>
                      <c:pt idx="0">
                        <c:v> Ludlow Ward</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warehouse'!$F$635:$O$635</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warehouse'!$F$646:$O$646</c15:sqref>
                        </c15:formulaRef>
                      </c:ext>
                    </c:extLst>
                    <c:numCache>
                      <c:formatCode>0%</c:formatCode>
                      <c:ptCount val="10"/>
                      <c:pt idx="0">
                        <c:v>0.93103448275862066</c:v>
                      </c:pt>
                      <c:pt idx="1">
                        <c:v>1</c:v>
                      </c:pt>
                      <c:pt idx="2">
                        <c:v>1</c:v>
                      </c:pt>
                      <c:pt idx="3">
                        <c:v>0.95833333333333337</c:v>
                      </c:pt>
                      <c:pt idx="4">
                        <c:v>1</c:v>
                      </c:pt>
                      <c:pt idx="5">
                        <c:v>0.96399999999999997</c:v>
                      </c:pt>
                      <c:pt idx="6">
                        <c:v>1</c:v>
                      </c:pt>
                      <c:pt idx="7">
                        <c:v>0.96699999999999997</c:v>
                      </c:pt>
                      <c:pt idx="8">
                        <c:v>0.96799999999999997</c:v>
                      </c:pt>
                      <c:pt idx="9">
                        <c:v>0.96799999999999997</c:v>
                      </c:pt>
                    </c:numCache>
                  </c:numRef>
                </c:val>
                <c:smooth val="0"/>
                <c:extLst xmlns:c15="http://schemas.microsoft.com/office/drawing/2012/chart">
                  <c:ext xmlns:c16="http://schemas.microsoft.com/office/drawing/2014/chart" uri="{C3380CC4-5D6E-409C-BE32-E72D297353CC}">
                    <c16:uniqueId val="{00000010-83C1-4C46-8F6D-4883DFE5F1B7}"/>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'Data warehouse'!$C$647</c15:sqref>
                        </c15:formulaRef>
                      </c:ext>
                    </c:extLst>
                    <c:strCache>
                      <c:ptCount val="1"/>
                      <c:pt idx="0">
                        <c:v> Powys Ward</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warehouse'!$F$635:$O$635</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warehouse'!$F$647:$O$647</c15:sqref>
                        </c15:formulaRef>
                      </c:ext>
                    </c:extLst>
                    <c:numCache>
                      <c:formatCode>0%</c:formatCode>
                      <c:ptCount val="10"/>
                      <c:pt idx="0">
                        <c:v>0.92592592592592593</c:v>
                      </c:pt>
                      <c:pt idx="1">
                        <c:v>0.96153846153846156</c:v>
                      </c:pt>
                      <c:pt idx="2">
                        <c:v>0.96</c:v>
                      </c:pt>
                      <c:pt idx="3">
                        <c:v>0.91304347826086951</c:v>
                      </c:pt>
                      <c:pt idx="4">
                        <c:v>0.9</c:v>
                      </c:pt>
                      <c:pt idx="5">
                        <c:v>0.875</c:v>
                      </c:pt>
                      <c:pt idx="6">
                        <c:v>0.92300000000000004</c:v>
                      </c:pt>
                      <c:pt idx="7">
                        <c:v>0.92300000000000004</c:v>
                      </c:pt>
                      <c:pt idx="8">
                        <c:v>0.92300000000000004</c:v>
                      </c:pt>
                      <c:pt idx="9">
                        <c:v>0.92300000000000004</c:v>
                      </c:pt>
                    </c:numCache>
                  </c:numRef>
                </c:val>
                <c:smooth val="0"/>
                <c:extLst xmlns:c15="http://schemas.microsoft.com/office/drawing/2012/chart">
                  <c:ext xmlns:c16="http://schemas.microsoft.com/office/drawing/2014/chart" uri="{C3380CC4-5D6E-409C-BE32-E72D297353CC}">
                    <c16:uniqueId val="{00000011-83C1-4C46-8F6D-4883DFE5F1B7}"/>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'Data warehouse'!$C$649</c15:sqref>
                        </c15:formulaRef>
                      </c:ext>
                    </c:extLst>
                    <c:strCache>
                      <c:ptCount val="1"/>
                      <c:pt idx="0">
                        <c:v> Recovery</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warehouse'!$F$635:$O$635</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warehouse'!$F$649:$O$649</c15:sqref>
                        </c15:formulaRef>
                      </c:ext>
                    </c:extLst>
                    <c:numCache>
                      <c:formatCode>0%</c:formatCode>
                      <c:ptCount val="10"/>
                      <c:pt idx="0">
                        <c:v>1</c:v>
                      </c:pt>
                      <c:pt idx="1">
                        <c:v>1</c:v>
                      </c:pt>
                      <c:pt idx="2">
                        <c:v>1</c:v>
                      </c:pt>
                      <c:pt idx="3">
                        <c:v>1</c:v>
                      </c:pt>
                      <c:pt idx="4">
                        <c:v>0.96</c:v>
                      </c:pt>
                      <c:pt idx="5">
                        <c:v>0.92600000000000005</c:v>
                      </c:pt>
                      <c:pt idx="6">
                        <c:v>0.96799999999999997</c:v>
                      </c:pt>
                      <c:pt idx="7">
                        <c:v>0.93799999999999994</c:v>
                      </c:pt>
                      <c:pt idx="8">
                        <c:v>0.93799999999999994</c:v>
                      </c:pt>
                      <c:pt idx="9">
                        <c:v>0.93799999999999994</c:v>
                      </c:pt>
                    </c:numCache>
                  </c:numRef>
                </c:val>
                <c:smooth val="0"/>
                <c:extLst xmlns:c15="http://schemas.microsoft.com/office/drawing/2012/chart">
                  <c:ext xmlns:c16="http://schemas.microsoft.com/office/drawing/2014/chart" uri="{C3380CC4-5D6E-409C-BE32-E72D297353CC}">
                    <c16:uniqueId val="{00000012-83C1-4C46-8F6D-4883DFE5F1B7}"/>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'Data warehouse'!$C$650</c15:sqref>
                        </c15:formulaRef>
                      </c:ext>
                    </c:extLst>
                    <c:strCache>
                      <c:ptCount val="1"/>
                      <c:pt idx="0">
                        <c:v> Theatres and Anaesthetics</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warehouse'!$F$635:$O$635</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warehouse'!$F$650:$O$650</c15:sqref>
                        </c15:formulaRef>
                      </c:ext>
                    </c:extLst>
                    <c:numCache>
                      <c:formatCode>0%</c:formatCode>
                      <c:ptCount val="10"/>
                      <c:pt idx="0">
                        <c:v>1</c:v>
                      </c:pt>
                      <c:pt idx="1">
                        <c:v>1</c:v>
                      </c:pt>
                      <c:pt idx="2">
                        <c:v>1</c:v>
                      </c:pt>
                      <c:pt idx="3">
                        <c:v>0.82608695652173914</c:v>
                      </c:pt>
                      <c:pt idx="4">
                        <c:v>0.97222222222222221</c:v>
                      </c:pt>
                      <c:pt idx="5">
                        <c:v>1</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13-83C1-4C46-8F6D-4883DFE5F1B7}"/>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'Data warehouse'!$C$651</c15:sqref>
                        </c15:formulaRef>
                      </c:ext>
                    </c:extLst>
                    <c:strCache>
                      <c:ptCount val="1"/>
                      <c:pt idx="0">
                        <c:v> TSSU</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warehouse'!$F$635:$O$635</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warehouse'!$F$651:$O$651</c15:sqref>
                        </c15:formulaRef>
                      </c:ext>
                    </c:extLst>
                    <c:numCache>
                      <c:formatCode>0%</c:formatCode>
                      <c:ptCount val="10"/>
                      <c:pt idx="0">
                        <c:v>0.90476190476190477</c:v>
                      </c:pt>
                      <c:pt idx="1">
                        <c:v>0.81818181818181823</c:v>
                      </c:pt>
                      <c:pt idx="2">
                        <c:v>0.81818181818181823</c:v>
                      </c:pt>
                      <c:pt idx="3">
                        <c:v>1</c:v>
                      </c:pt>
                      <c:pt idx="4">
                        <c:v>0.9</c:v>
                      </c:pt>
                      <c:pt idx="5">
                        <c:v>0.91300000000000003</c:v>
                      </c:pt>
                      <c:pt idx="6">
                        <c:v>0.76200000000000001</c:v>
                      </c:pt>
                      <c:pt idx="7">
                        <c:v>0.9</c:v>
                      </c:pt>
                      <c:pt idx="9">
                        <c:v>0.90900000000000003</c:v>
                      </c:pt>
                    </c:numCache>
                  </c:numRef>
                </c:val>
                <c:smooth val="0"/>
                <c:extLst xmlns:c15="http://schemas.microsoft.com/office/drawing/2012/chart">
                  <c:ext xmlns:c16="http://schemas.microsoft.com/office/drawing/2014/chart" uri="{C3380CC4-5D6E-409C-BE32-E72D297353CC}">
                    <c16:uniqueId val="{00000014-83C1-4C46-8F6D-4883DFE5F1B7}"/>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'Data warehouse'!$C$652</c15:sqref>
                        </c15:formulaRef>
                      </c:ext>
                    </c:extLst>
                    <c:strCache>
                      <c:ptCount val="1"/>
                      <c:pt idx="0">
                        <c:v> Alice Ward</c:v>
                      </c:pt>
                    </c:strCache>
                  </c:strRef>
                </c:tx>
                <c:spPr>
                  <a:ln w="28575" cap="rnd">
                    <a:solidFill>
                      <a:schemeClr val="accent3">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warehouse'!$F$635:$O$635</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warehouse'!$F$652:$O$652</c15:sqref>
                        </c15:formulaRef>
                      </c:ext>
                    </c:extLst>
                    <c:numCache>
                      <c:formatCode>0%</c:formatCode>
                      <c:ptCount val="10"/>
                      <c:pt idx="0">
                        <c:v>0.96</c:v>
                      </c:pt>
                      <c:pt idx="1">
                        <c:v>1</c:v>
                      </c:pt>
                      <c:pt idx="2">
                        <c:v>1</c:v>
                      </c:pt>
                      <c:pt idx="3">
                        <c:v>0.92307692307692313</c:v>
                      </c:pt>
                      <c:pt idx="4">
                        <c:v>1</c:v>
                      </c:pt>
                      <c:pt idx="5">
                        <c:v>0.96199999999999997</c:v>
                      </c:pt>
                      <c:pt idx="6">
                        <c:v>0.93100000000000005</c:v>
                      </c:pt>
                      <c:pt idx="7">
                        <c:v>0.86699999999999999</c:v>
                      </c:pt>
                      <c:pt idx="8">
                        <c:v>0.93300000000000005</c:v>
                      </c:pt>
                      <c:pt idx="9">
                        <c:v>0.93300000000000005</c:v>
                      </c:pt>
                    </c:numCache>
                  </c:numRef>
                </c:val>
                <c:smooth val="0"/>
                <c:extLst xmlns:c15="http://schemas.microsoft.com/office/drawing/2012/chart">
                  <c:ext xmlns:c16="http://schemas.microsoft.com/office/drawing/2014/chart" uri="{C3380CC4-5D6E-409C-BE32-E72D297353CC}">
                    <c16:uniqueId val="{00000015-83C1-4C46-8F6D-4883DFE5F1B7}"/>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'Data warehouse'!$C$653</c15:sqref>
                        </c15:formulaRef>
                      </c:ext>
                    </c:extLst>
                    <c:strCache>
                      <c:ptCount val="1"/>
                      <c:pt idx="0">
                        <c:v> Gladstone Ward</c:v>
                      </c:pt>
                    </c:strCache>
                  </c:strRef>
                </c:tx>
                <c:spPr>
                  <a:ln w="28575" cap="rnd">
                    <a:solidFill>
                      <a:schemeClr val="accent4">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warehouse'!$F$635:$O$635</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warehouse'!$F$653:$O$653</c15:sqref>
                        </c15:formulaRef>
                      </c:ext>
                    </c:extLst>
                    <c:numCache>
                      <c:formatCode>0%</c:formatCode>
                      <c:ptCount val="10"/>
                      <c:pt idx="0">
                        <c:v>0.87804878048780488</c:v>
                      </c:pt>
                      <c:pt idx="1">
                        <c:v>0.97560975609756095</c:v>
                      </c:pt>
                      <c:pt idx="2">
                        <c:v>0.90243902439024393</c:v>
                      </c:pt>
                      <c:pt idx="3">
                        <c:v>0.88888888888888884</c:v>
                      </c:pt>
                      <c:pt idx="4">
                        <c:v>0.90909090909090906</c:v>
                      </c:pt>
                      <c:pt idx="5">
                        <c:v>0.94599999999999995</c:v>
                      </c:pt>
                      <c:pt idx="6">
                        <c:v>0.88600000000000001</c:v>
                      </c:pt>
                      <c:pt idx="7">
                        <c:v>0.91700000000000004</c:v>
                      </c:pt>
                      <c:pt idx="8">
                        <c:v>0.88900000000000001</c:v>
                      </c:pt>
                      <c:pt idx="9">
                        <c:v>0.88900000000000001</c:v>
                      </c:pt>
                    </c:numCache>
                  </c:numRef>
                </c:val>
                <c:smooth val="0"/>
                <c:extLst xmlns:c15="http://schemas.microsoft.com/office/drawing/2012/chart">
                  <c:ext xmlns:c16="http://schemas.microsoft.com/office/drawing/2014/chart" uri="{C3380CC4-5D6E-409C-BE32-E72D297353CC}">
                    <c16:uniqueId val="{00000016-83C1-4C46-8F6D-4883DFE5F1B7}"/>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'Data warehouse'!$C$654</c15:sqref>
                        </c15:formulaRef>
                      </c:ext>
                    </c:extLst>
                    <c:strCache>
                      <c:ptCount val="1"/>
                      <c:pt idx="0">
                        <c:v> Montgomery</c:v>
                      </c:pt>
                    </c:strCache>
                  </c:strRef>
                </c:tx>
                <c:spPr>
                  <a:ln w="28575" cap="rnd">
                    <a:solidFill>
                      <a:schemeClr val="accent5">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warehouse'!$F$635:$O$635</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warehouse'!$F$654:$O$654</c15:sqref>
                        </c15:formulaRef>
                      </c:ext>
                    </c:extLst>
                    <c:numCache>
                      <c:formatCode>0%</c:formatCode>
                      <c:ptCount val="10"/>
                      <c:pt idx="0">
                        <c:v>1</c:v>
                      </c:pt>
                      <c:pt idx="1">
                        <c:v>1</c:v>
                      </c:pt>
                      <c:pt idx="2">
                        <c:v>1</c:v>
                      </c:pt>
                      <c:pt idx="3">
                        <c:v>0.96</c:v>
                      </c:pt>
                      <c:pt idx="4">
                        <c:v>0.90909090909090906</c:v>
                      </c:pt>
                      <c:pt idx="5">
                        <c:v>0.91700000000000004</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17-83C1-4C46-8F6D-4883DFE5F1B7}"/>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'Data warehouse'!$C$655</c15:sqref>
                        </c15:formulaRef>
                      </c:ext>
                    </c:extLst>
                    <c:strCache>
                      <c:ptCount val="1"/>
                      <c:pt idx="0">
                        <c:v> ORLAU</c:v>
                      </c:pt>
                    </c:strCache>
                  </c:strRef>
                </c:tx>
                <c:spPr>
                  <a:ln w="28575" cap="rnd">
                    <a:solidFill>
                      <a:schemeClr val="accent6">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warehouse'!$F$635:$O$635</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warehouse'!$F$655:$O$655</c15:sqref>
                        </c15:formulaRef>
                      </c:ext>
                    </c:extLst>
                    <c:numCache>
                      <c:formatCode>0%</c:formatCode>
                      <c:ptCount val="10"/>
                      <c:pt idx="0">
                        <c:v>0.95833333333333337</c:v>
                      </c:pt>
                      <c:pt idx="1">
                        <c:v>1</c:v>
                      </c:pt>
                      <c:pt idx="2">
                        <c:v>1</c:v>
                      </c:pt>
                      <c:pt idx="3">
                        <c:v>1</c:v>
                      </c:pt>
                      <c:pt idx="4">
                        <c:v>1</c:v>
                      </c:pt>
                      <c:pt idx="5">
                        <c:v>0.96</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18-83C1-4C46-8F6D-4883DFE5F1B7}"/>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'Data warehouse'!$C$656</c15:sqref>
                        </c15:formulaRef>
                      </c:ext>
                    </c:extLst>
                    <c:strCache>
                      <c:ptCount val="1"/>
                      <c:pt idx="0">
                        <c:v> Oswald Ward</c:v>
                      </c:pt>
                    </c:strCache>
                  </c:strRef>
                </c:tx>
                <c:spPr>
                  <a:ln w="28575" cap="rnd">
                    <a:solidFill>
                      <a:schemeClr val="accent1">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warehouse'!$F$635:$O$635</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warehouse'!$F$656:$O$656</c15:sqref>
                        </c15:formulaRef>
                      </c:ext>
                    </c:extLst>
                    <c:numCache>
                      <c:formatCode>0%</c:formatCode>
                      <c:ptCount val="10"/>
                      <c:pt idx="0">
                        <c:v>0.94736842105263153</c:v>
                      </c:pt>
                      <c:pt idx="1">
                        <c:v>1</c:v>
                      </c:pt>
                      <c:pt idx="2">
                        <c:v>1</c:v>
                      </c:pt>
                      <c:pt idx="3">
                        <c:v>0.94285714285714284</c:v>
                      </c:pt>
                      <c:pt idx="4">
                        <c:v>0.96153846153846156</c:v>
                      </c:pt>
                      <c:pt idx="5">
                        <c:v>1</c:v>
                      </c:pt>
                      <c:pt idx="6">
                        <c:v>1</c:v>
                      </c:pt>
                      <c:pt idx="7">
                        <c:v>0.85699999999999998</c:v>
                      </c:pt>
                      <c:pt idx="8">
                        <c:v>0.90500000000000003</c:v>
                      </c:pt>
                      <c:pt idx="9">
                        <c:v>0.90500000000000003</c:v>
                      </c:pt>
                    </c:numCache>
                  </c:numRef>
                </c:val>
                <c:smooth val="0"/>
                <c:extLst xmlns:c15="http://schemas.microsoft.com/office/drawing/2012/chart">
                  <c:ext xmlns:c16="http://schemas.microsoft.com/office/drawing/2014/chart" uri="{C3380CC4-5D6E-409C-BE32-E72D297353CC}">
                    <c16:uniqueId val="{00000019-83C1-4C46-8F6D-4883DFE5F1B7}"/>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'Data warehouse'!$C$657</c15:sqref>
                        </c15:formulaRef>
                      </c:ext>
                    </c:extLst>
                    <c:strCache>
                      <c:ptCount val="1"/>
                      <c:pt idx="0">
                        <c:v> Sheldon Ward</c:v>
                      </c:pt>
                    </c:strCache>
                  </c:strRef>
                </c:tx>
                <c:spPr>
                  <a:ln w="28575" cap="rnd">
                    <a:solidFill>
                      <a:schemeClr val="accent2">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warehouse'!$F$635:$O$635</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warehouse'!$F$657:$O$657</c15:sqref>
                        </c15:formulaRef>
                      </c:ext>
                    </c:extLst>
                    <c:numCache>
                      <c:formatCode>0%</c:formatCode>
                      <c:ptCount val="10"/>
                      <c:pt idx="0">
                        <c:v>0.96875</c:v>
                      </c:pt>
                      <c:pt idx="1">
                        <c:v>0.97142857142857142</c:v>
                      </c:pt>
                      <c:pt idx="2">
                        <c:v>0.97142857142857142</c:v>
                      </c:pt>
                      <c:pt idx="3">
                        <c:v>0.89655172413793105</c:v>
                      </c:pt>
                      <c:pt idx="4">
                        <c:v>1</c:v>
                      </c:pt>
                      <c:pt idx="5">
                        <c:v>1</c:v>
                      </c:pt>
                      <c:pt idx="6">
                        <c:v>1</c:v>
                      </c:pt>
                      <c:pt idx="7">
                        <c:v>0.97099999999999997</c:v>
                      </c:pt>
                      <c:pt idx="8">
                        <c:v>0.97099999999999997</c:v>
                      </c:pt>
                      <c:pt idx="9">
                        <c:v>0.97099999999999997</c:v>
                      </c:pt>
                    </c:numCache>
                  </c:numRef>
                </c:val>
                <c:smooth val="0"/>
                <c:extLst xmlns:c15="http://schemas.microsoft.com/office/drawing/2012/chart">
                  <c:ext xmlns:c16="http://schemas.microsoft.com/office/drawing/2014/chart" uri="{C3380CC4-5D6E-409C-BE32-E72D297353CC}">
                    <c16:uniqueId val="{0000001A-83C1-4C46-8F6D-4883DFE5F1B7}"/>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'Data warehouse'!$C$658</c15:sqref>
                        </c15:formulaRef>
                      </c:ext>
                    </c:extLst>
                    <c:strCache>
                      <c:ptCount val="1"/>
                      <c:pt idx="0">
                        <c:v> Wrekin Ward</c:v>
                      </c:pt>
                    </c:strCache>
                  </c:strRef>
                </c:tx>
                <c:spPr>
                  <a:ln w="28575" cap="rnd">
                    <a:solidFill>
                      <a:schemeClr val="accent3">
                        <a:lumMod val="8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2400" b="0" i="0" u="none" strike="noStrike" kern="1200" baseline="0">
                          <a:solidFill>
                            <a:schemeClr val="bg1"/>
                          </a:solidFill>
                          <a:latin typeface="Arial Nova"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'Data warehouse'!$F$635:$O$635</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warehouse'!$F$658:$O$658</c15:sqref>
                        </c15:formulaRef>
                      </c:ext>
                    </c:extLst>
                    <c:numCache>
                      <c:formatCode>0%</c:formatCode>
                      <c:ptCount val="10"/>
                      <c:pt idx="0">
                        <c:v>1</c:v>
                      </c:pt>
                      <c:pt idx="1">
                        <c:v>1</c:v>
                      </c:pt>
                      <c:pt idx="2">
                        <c:v>0.9642857142857143</c:v>
                      </c:pt>
                      <c:pt idx="3">
                        <c:v>0.89655172413793105</c:v>
                      </c:pt>
                      <c:pt idx="4">
                        <c:v>0.9285714285714286</c:v>
                      </c:pt>
                      <c:pt idx="5">
                        <c:v>0.92900000000000005</c:v>
                      </c:pt>
                      <c:pt idx="6">
                        <c:v>0.92900000000000005</c:v>
                      </c:pt>
                      <c:pt idx="7">
                        <c:v>0.96399999999999997</c:v>
                      </c:pt>
                      <c:pt idx="8">
                        <c:v>0.96399999999999997</c:v>
                      </c:pt>
                      <c:pt idx="9">
                        <c:v>0.96399999999999997</c:v>
                      </c:pt>
                    </c:numCache>
                  </c:numRef>
                </c:val>
                <c:smooth val="0"/>
                <c:extLst xmlns:c15="http://schemas.microsoft.com/office/drawing/2012/chart">
                  <c:ext xmlns:c16="http://schemas.microsoft.com/office/drawing/2014/chart" uri="{C3380CC4-5D6E-409C-BE32-E72D297353CC}">
                    <c16:uniqueId val="{0000001B-83C1-4C46-8F6D-4883DFE5F1B7}"/>
                  </c:ext>
                </c:extLst>
              </c15:ser>
            </c15:filteredLineSeries>
          </c:ext>
        </c:extLst>
      </c:lineChart>
      <c:catAx>
        <c:axId val="538082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538075440"/>
        <c:crosses val="autoZero"/>
        <c:auto val="1"/>
        <c:lblAlgn val="ctr"/>
        <c:lblOffset val="100"/>
        <c:noMultiLvlLbl val="0"/>
      </c:catAx>
      <c:valAx>
        <c:axId val="538075440"/>
        <c:scaling>
          <c:orientation val="minMax"/>
          <c:max val="1"/>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538082928"/>
        <c:crosses val="autoZero"/>
        <c:crossBetween val="between"/>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Arial Nova" panose="020B0504020202020204" pitchFamily="34" charset="0"/>
                <a:ea typeface="+mn-ea"/>
                <a:cs typeface="+mn-cs"/>
              </a:defRPr>
            </a:pPr>
            <a:r>
              <a:rPr lang="en-GB" sz="1050" b="1" baseline="0">
                <a:solidFill>
                  <a:sysClr val="windowText" lastClr="000000"/>
                </a:solidFill>
                <a:latin typeface="Arial Nova" panose="020B0504020202020204" pitchFamily="34" charset="0"/>
              </a:rPr>
              <a:t>Hand Hygiene    </a:t>
            </a:r>
            <a:endParaRPr lang="en-GB" sz="1050" b="1">
              <a:solidFill>
                <a:sysClr val="windowText" lastClr="000000"/>
              </a:solidFill>
              <a:latin typeface="Arial Nova" panose="020B0504020202020204" pitchFamily="34" charset="0"/>
            </a:endParaRPr>
          </a:p>
        </c:rich>
      </c:tx>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Arial Nova" panose="020B0504020202020204" pitchFamily="34" charset="0"/>
              <a:ea typeface="+mn-ea"/>
              <a:cs typeface="+mn-cs"/>
            </a:defRPr>
          </a:pPr>
          <a:endParaRPr lang="en-US"/>
        </a:p>
      </c:txPr>
    </c:title>
    <c:autoTitleDeleted val="0"/>
    <c:plotArea>
      <c:layout>
        <c:manualLayout>
          <c:layoutTarget val="inner"/>
          <c:xMode val="edge"/>
          <c:yMode val="edge"/>
          <c:x val="7.097424054442493E-2"/>
          <c:y val="0.17138364779874213"/>
          <c:w val="0.90614484421896557"/>
          <c:h val="0.36433004836659572"/>
        </c:manualLayout>
      </c:layout>
      <c:lineChart>
        <c:grouping val="standard"/>
        <c:varyColors val="0"/>
        <c:ser>
          <c:idx val="21"/>
          <c:order val="21"/>
          <c:tx>
            <c:strRef>
              <c:f>'Data warehouse'!$C$821</c:f>
              <c:strCache>
                <c:ptCount val="1"/>
                <c:pt idx="0">
                  <c:v>AVERAGE</c:v>
                </c:pt>
              </c:strCache>
            </c:strRef>
          </c:tx>
          <c:spPr>
            <a:ln w="28575" cap="rnd">
              <a:solidFill>
                <a:schemeClr val="accent4">
                  <a:lumMod val="80000"/>
                </a:schemeClr>
              </a:solidFill>
              <a:round/>
            </a:ln>
            <a:effectLst/>
          </c:spPr>
          <c:marker>
            <c:symbol val="none"/>
          </c:marker>
          <c:dPt>
            <c:idx val="0"/>
            <c:marker>
              <c:symbol val="none"/>
            </c:marker>
            <c:bubble3D val="0"/>
            <c:spPr>
              <a:ln w="28575" cap="rnd">
                <a:solidFill>
                  <a:schemeClr val="accent4">
                    <a:lumMod val="80000"/>
                  </a:schemeClr>
                </a:solidFill>
                <a:round/>
              </a:ln>
              <a:effectLst/>
            </c:spPr>
            <c:extLst>
              <c:ext xmlns:c16="http://schemas.microsoft.com/office/drawing/2014/chart" uri="{C3380CC4-5D6E-409C-BE32-E72D297353CC}">
                <c16:uniqueId val="{00000001-FF3C-4127-89E2-D7A7D7A39CD3}"/>
              </c:ext>
            </c:extLst>
          </c:dPt>
          <c:dPt>
            <c:idx val="2"/>
            <c:marker>
              <c:symbol val="none"/>
            </c:marker>
            <c:bubble3D val="0"/>
            <c:spPr>
              <a:ln w="28575" cap="rnd">
                <a:solidFill>
                  <a:schemeClr val="accent4">
                    <a:lumMod val="80000"/>
                  </a:schemeClr>
                </a:solidFill>
                <a:round/>
              </a:ln>
              <a:effectLst/>
            </c:spPr>
            <c:extLst>
              <c:ext xmlns:c16="http://schemas.microsoft.com/office/drawing/2014/chart" uri="{C3380CC4-5D6E-409C-BE32-E72D297353CC}">
                <c16:uniqueId val="{00000003-FF3C-4127-89E2-D7A7D7A39CD3}"/>
              </c:ext>
            </c:extLst>
          </c:dPt>
          <c:cat>
            <c:strRef>
              <c:f>'Data warehouse'!$F$797:$O$797</c:f>
              <c:strCache>
                <c:ptCount val="10"/>
                <c:pt idx="0">
                  <c:v>Jun-22</c:v>
                </c:pt>
                <c:pt idx="1">
                  <c:v>Jul-22</c:v>
                </c:pt>
                <c:pt idx="2">
                  <c:v>Aug-22</c:v>
                </c:pt>
                <c:pt idx="3">
                  <c:v>Sep-22</c:v>
                </c:pt>
                <c:pt idx="4">
                  <c:v>Oct-22</c:v>
                </c:pt>
                <c:pt idx="5">
                  <c:v>Nov-22</c:v>
                </c:pt>
                <c:pt idx="6">
                  <c:v>Dec-22</c:v>
                </c:pt>
                <c:pt idx="7">
                  <c:v>Jan-23</c:v>
                </c:pt>
                <c:pt idx="8">
                  <c:v>Feb-23</c:v>
                </c:pt>
                <c:pt idx="9">
                  <c:v>Mar-23</c:v>
                </c:pt>
              </c:strCache>
              <c:extLst/>
            </c:strRef>
          </c:cat>
          <c:val>
            <c:numRef>
              <c:f>'Data warehouse'!$F$821:$O$821</c:f>
              <c:numCache>
                <c:formatCode>0%</c:formatCode>
                <c:ptCount val="10"/>
                <c:pt idx="0">
                  <c:v>0.81929328412121483</c:v>
                </c:pt>
                <c:pt idx="1">
                  <c:v>0.95426359000451244</c:v>
                </c:pt>
                <c:pt idx="2">
                  <c:v>0.96118644480492965</c:v>
                </c:pt>
                <c:pt idx="3">
                  <c:v>0.9719388317208143</c:v>
                </c:pt>
                <c:pt idx="4">
                  <c:v>0.97004592307969417</c:v>
                </c:pt>
                <c:pt idx="5">
                  <c:v>0.9809545454545453</c:v>
                </c:pt>
                <c:pt idx="6">
                  <c:v>0.98249999999999993</c:v>
                </c:pt>
                <c:pt idx="7">
                  <c:v>0.9785454545454545</c:v>
                </c:pt>
                <c:pt idx="8">
                  <c:v>0.96990909090909083</c:v>
                </c:pt>
                <c:pt idx="9">
                  <c:v>0.96990909090909083</c:v>
                </c:pt>
              </c:numCache>
              <c:extLst/>
            </c:numRef>
          </c:val>
          <c:smooth val="0"/>
          <c:extLst>
            <c:ext xmlns:c16="http://schemas.microsoft.com/office/drawing/2014/chart" uri="{C3380CC4-5D6E-409C-BE32-E72D297353CC}">
              <c16:uniqueId val="{00000004-FF3C-4127-89E2-D7A7D7A39CD3}"/>
            </c:ext>
          </c:extLst>
        </c:ser>
        <c:ser>
          <c:idx val="0"/>
          <c:order val="0"/>
          <c:tx>
            <c:strRef>
              <c:f>'Data warehouse'!$C$798</c:f>
              <c:strCache>
                <c:ptCount val="1"/>
                <c:pt idx="0">
                  <c:v>Target</c:v>
                </c:pt>
              </c:strCache>
            </c:strRef>
          </c:tx>
          <c:spPr>
            <a:ln w="25400" cap="rnd">
              <a:solidFill>
                <a:srgbClr val="FF0000"/>
              </a:solidFill>
              <a:round/>
            </a:ln>
            <a:effectLst/>
          </c:spPr>
          <c:marker>
            <c:symbol val="none"/>
          </c:marker>
          <c:cat>
            <c:strRef>
              <c:f>'Data warehouse'!$F$797:$O$797</c:f>
              <c:strCache>
                <c:ptCount val="10"/>
                <c:pt idx="0">
                  <c:v>Jun-22</c:v>
                </c:pt>
                <c:pt idx="1">
                  <c:v>Jul-22</c:v>
                </c:pt>
                <c:pt idx="2">
                  <c:v>Aug-22</c:v>
                </c:pt>
                <c:pt idx="3">
                  <c:v>Sep-22</c:v>
                </c:pt>
                <c:pt idx="4">
                  <c:v>Oct-22</c:v>
                </c:pt>
                <c:pt idx="5">
                  <c:v>Nov-22</c:v>
                </c:pt>
                <c:pt idx="6">
                  <c:v>Dec-22</c:v>
                </c:pt>
                <c:pt idx="7">
                  <c:v>Jan-23</c:v>
                </c:pt>
                <c:pt idx="8">
                  <c:v>Feb-23</c:v>
                </c:pt>
                <c:pt idx="9">
                  <c:v>Mar-23</c:v>
                </c:pt>
              </c:strCache>
              <c:extLst/>
            </c:strRef>
          </c:cat>
          <c:val>
            <c:numRef>
              <c:f>'Data warehouse'!$F$798:$O$798</c:f>
              <c:numCache>
                <c:formatCode>0%</c:formatCode>
                <c:ptCount val="10"/>
                <c:pt idx="0">
                  <c:v>0.92</c:v>
                </c:pt>
                <c:pt idx="1">
                  <c:v>0.92</c:v>
                </c:pt>
                <c:pt idx="2">
                  <c:v>0.92</c:v>
                </c:pt>
                <c:pt idx="3">
                  <c:v>0.92</c:v>
                </c:pt>
                <c:pt idx="4">
                  <c:v>0.92</c:v>
                </c:pt>
                <c:pt idx="5">
                  <c:v>0.92</c:v>
                </c:pt>
                <c:pt idx="6">
                  <c:v>0.92</c:v>
                </c:pt>
                <c:pt idx="7">
                  <c:v>0.92</c:v>
                </c:pt>
                <c:pt idx="8">
                  <c:v>0.92</c:v>
                </c:pt>
                <c:pt idx="9">
                  <c:v>0.92</c:v>
                </c:pt>
              </c:numCache>
              <c:extLst/>
            </c:numRef>
          </c:val>
          <c:smooth val="0"/>
          <c:extLst>
            <c:ext xmlns:c16="http://schemas.microsoft.com/office/drawing/2014/chart" uri="{C3380CC4-5D6E-409C-BE32-E72D297353CC}">
              <c16:uniqueId val="{00000005-FF3C-4127-89E2-D7A7D7A39CD3}"/>
            </c:ext>
          </c:extLst>
        </c:ser>
        <c:dLbls>
          <c:showLegendKey val="0"/>
          <c:showVal val="0"/>
          <c:showCatName val="0"/>
          <c:showSerName val="0"/>
          <c:showPercent val="0"/>
          <c:showBubbleSize val="0"/>
        </c:dLbls>
        <c:smooth val="0"/>
        <c:axId val="538082928"/>
        <c:axId val="538075440"/>
        <c:extLst>
          <c:ext xmlns:c15="http://schemas.microsoft.com/office/drawing/2012/chart" uri="{02D57815-91ED-43cb-92C2-25804820EDAC}">
            <c15:filteredLineSeries>
              <c15:ser>
                <c:idx val="1"/>
                <c:order val="1"/>
                <c:tx>
                  <c:strRef>
                    <c:extLst>
                      <c:ext uri="{02D57815-91ED-43cb-92C2-25804820EDAC}">
                        <c15:formulaRef>
                          <c15:sqref>'Data warehouse'!$C$799</c15:sqref>
                        </c15:formulaRef>
                      </c:ext>
                    </c:extLst>
                    <c:strCache>
                      <c:ptCount val="1"/>
                      <c:pt idx="0">
                        <c:v> Orthotics</c:v>
                      </c:pt>
                    </c:strCache>
                  </c:strRef>
                </c:tx>
                <c:spPr>
                  <a:ln w="28575" cap="rnd">
                    <a:solidFill>
                      <a:schemeClr val="accent2"/>
                    </a:solidFill>
                    <a:round/>
                  </a:ln>
                  <a:effectLst/>
                </c:spPr>
                <c:marker>
                  <c:symbol val="none"/>
                </c:marker>
                <c:cat>
                  <c:strRef>
                    <c:extLst>
                      <c:ext uri="{02D57815-91ED-43cb-92C2-25804820EDAC}">
                        <c15:formulaRef>
                          <c15:sqref>'Data warehouse'!$F$797:$O$797</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c:ext uri="{02D57815-91ED-43cb-92C2-25804820EDAC}">
                        <c15:formulaRef>
                          <c15:sqref>'Data warehouse'!$F$799:$O$799</c15:sqref>
                        </c15:formulaRef>
                      </c:ext>
                    </c:extLst>
                    <c:numCache>
                      <c:formatCode>0%</c:formatCode>
                      <c:ptCount val="10"/>
                      <c:pt idx="0">
                        <c:v>0.55882352941176472</c:v>
                      </c:pt>
                      <c:pt idx="1">
                        <c:v>0.94117647058823528</c:v>
                      </c:pt>
                      <c:pt idx="2">
                        <c:v>0.94117647058823528</c:v>
                      </c:pt>
                      <c:pt idx="3">
                        <c:v>0.96969696969696972</c:v>
                      </c:pt>
                      <c:pt idx="4">
                        <c:v>1</c:v>
                      </c:pt>
                      <c:pt idx="5">
                        <c:v>0.96899999999999997</c:v>
                      </c:pt>
                      <c:pt idx="6">
                        <c:v>1</c:v>
                      </c:pt>
                      <c:pt idx="7">
                        <c:v>0.96799999999999997</c:v>
                      </c:pt>
                      <c:pt idx="8">
                        <c:v>1</c:v>
                      </c:pt>
                      <c:pt idx="9">
                        <c:v>1</c:v>
                      </c:pt>
                    </c:numCache>
                  </c:numRef>
                </c:val>
                <c:smooth val="0"/>
                <c:extLst>
                  <c:ext xmlns:c16="http://schemas.microsoft.com/office/drawing/2014/chart" uri="{C3380CC4-5D6E-409C-BE32-E72D297353CC}">
                    <c16:uniqueId val="{00000006-FF3C-4127-89E2-D7A7D7A39CD3}"/>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'Data warehouse'!$C$801</c15:sqref>
                        </c15:formulaRef>
                      </c:ext>
                    </c:extLst>
                    <c:strCache>
                      <c:ptCount val="1"/>
                      <c:pt idx="0">
                        <c:v> Pharmacy</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warehouse'!$F$797:$O$797</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warehouse'!$F$801:$O$801</c15:sqref>
                        </c15:formulaRef>
                      </c:ext>
                    </c:extLst>
                    <c:numCache>
                      <c:formatCode>0%</c:formatCode>
                      <c:ptCount val="10"/>
                      <c:pt idx="0">
                        <c:v>0.8125</c:v>
                      </c:pt>
                      <c:pt idx="1">
                        <c:v>0.89655172413793105</c:v>
                      </c:pt>
                      <c:pt idx="2">
                        <c:v>0.89655172413793105</c:v>
                      </c:pt>
                      <c:pt idx="3">
                        <c:v>0.89655172413793105</c:v>
                      </c:pt>
                      <c:pt idx="4">
                        <c:v>1</c:v>
                      </c:pt>
                      <c:pt idx="5">
                        <c:v>0.92900000000000005</c:v>
                      </c:pt>
                      <c:pt idx="6">
                        <c:v>0.89700000000000002</c:v>
                      </c:pt>
                      <c:pt idx="7">
                        <c:v>0.93300000000000005</c:v>
                      </c:pt>
                      <c:pt idx="8">
                        <c:v>0.9</c:v>
                      </c:pt>
                      <c:pt idx="9">
                        <c:v>0.9</c:v>
                      </c:pt>
                    </c:numCache>
                  </c:numRef>
                </c:val>
                <c:smooth val="0"/>
                <c:extLst xmlns:c15="http://schemas.microsoft.com/office/drawing/2012/chart">
                  <c:ext xmlns:c16="http://schemas.microsoft.com/office/drawing/2014/chart" uri="{C3380CC4-5D6E-409C-BE32-E72D297353CC}">
                    <c16:uniqueId val="{00000007-FF3C-4127-89E2-D7A7D7A39CD3}"/>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'Data warehouse'!$C$802</c15:sqref>
                        </c15:formulaRef>
                      </c:ext>
                    </c:extLst>
                    <c:strCache>
                      <c:ptCount val="1"/>
                      <c:pt idx="0">
                        <c:v> Radiology </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warehouse'!$F$797:$O$797</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warehouse'!$F$802:$O$802</c15:sqref>
                        </c15:formulaRef>
                      </c:ext>
                    </c:extLst>
                    <c:numCache>
                      <c:formatCode>0%</c:formatCode>
                      <c:ptCount val="10"/>
                      <c:pt idx="0">
                        <c:v>0.18181818181818182</c:v>
                      </c:pt>
                      <c:pt idx="1">
                        <c:v>0.75</c:v>
                      </c:pt>
                      <c:pt idx="2">
                        <c:v>0.8571428571428571</c:v>
                      </c:pt>
                      <c:pt idx="3">
                        <c:v>1</c:v>
                      </c:pt>
                      <c:pt idx="4">
                        <c:v>1</c:v>
                      </c:pt>
                      <c:pt idx="5">
                        <c:v>1</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08-FF3C-4127-89E2-D7A7D7A39CD3}"/>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'Data warehouse'!$C$803</c15:sqref>
                        </c15:formulaRef>
                      </c:ext>
                    </c:extLst>
                    <c:strCache>
                      <c:ptCount val="1"/>
                      <c:pt idx="0">
                        <c:v> Therapies</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warehouse'!$F$797:$O$797</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warehouse'!$F$803:$O$803</c15:sqref>
                        </c15:formulaRef>
                      </c:ext>
                    </c:extLst>
                    <c:numCache>
                      <c:formatCode>0%</c:formatCode>
                      <c:ptCount val="10"/>
                      <c:pt idx="0">
                        <c:v>0.72727272727272729</c:v>
                      </c:pt>
                      <c:pt idx="1">
                        <c:v>0.9</c:v>
                      </c:pt>
                      <c:pt idx="2">
                        <c:v>0.91919191919191923</c:v>
                      </c:pt>
                      <c:pt idx="3">
                        <c:v>0.95145631067961167</c:v>
                      </c:pt>
                      <c:pt idx="4">
                        <c:v>1</c:v>
                      </c:pt>
                      <c:pt idx="5">
                        <c:v>1</c:v>
                      </c:pt>
                      <c:pt idx="6">
                        <c:v>1</c:v>
                      </c:pt>
                      <c:pt idx="7">
                        <c:v>0.91700000000000004</c:v>
                      </c:pt>
                      <c:pt idx="8">
                        <c:v>0.91700000000000004</c:v>
                      </c:pt>
                      <c:pt idx="9">
                        <c:v>0.91700000000000004</c:v>
                      </c:pt>
                    </c:numCache>
                  </c:numRef>
                </c:val>
                <c:smooth val="0"/>
                <c:extLst xmlns:c15="http://schemas.microsoft.com/office/drawing/2012/chart">
                  <c:ext xmlns:c16="http://schemas.microsoft.com/office/drawing/2014/chart" uri="{C3380CC4-5D6E-409C-BE32-E72D297353CC}">
                    <c16:uniqueId val="{00000009-FF3C-4127-89E2-D7A7D7A39CD3}"/>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'Data warehouse'!$C$804</c15:sqref>
                        </c15:formulaRef>
                      </c:ext>
                    </c:extLst>
                    <c:strCache>
                      <c:ptCount val="1"/>
                      <c:pt idx="0">
                        <c:v> Baschurch Day Unit</c:v>
                      </c:pt>
                    </c:strCache>
                  </c:strRef>
                </c:tx>
                <c:spPr>
                  <a:ln w="28575"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warehouse'!$F$797:$O$797</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warehouse'!$F$804:$O$804</c15:sqref>
                        </c15:formulaRef>
                      </c:ext>
                    </c:extLst>
                    <c:numCache>
                      <c:formatCode>0%</c:formatCode>
                      <c:ptCount val="10"/>
                      <c:pt idx="0">
                        <c:v>0.83870967741935487</c:v>
                      </c:pt>
                      <c:pt idx="1">
                        <c:v>1</c:v>
                      </c:pt>
                      <c:pt idx="2">
                        <c:v>1</c:v>
                      </c:pt>
                      <c:pt idx="3">
                        <c:v>1</c:v>
                      </c:pt>
                      <c:pt idx="4">
                        <c:v>1</c:v>
                      </c:pt>
                      <c:pt idx="5">
                        <c:v>1</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0A-FF3C-4127-89E2-D7A7D7A39CD3}"/>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'Data warehouse'!$C$805</c15:sqref>
                        </c15:formulaRef>
                      </c:ext>
                    </c:extLst>
                    <c:strCache>
                      <c:ptCount val="1"/>
                      <c:pt idx="0">
                        <c:v> Clwyd Ward</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warehouse'!$F$797:$O$797</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warehouse'!$F$805:$O$805</c15:sqref>
                        </c15:formulaRef>
                      </c:ext>
                    </c:extLst>
                    <c:numCache>
                      <c:formatCode>0%</c:formatCode>
                      <c:ptCount val="10"/>
                      <c:pt idx="0">
                        <c:v>1</c:v>
                      </c:pt>
                      <c:pt idx="1">
                        <c:v>1</c:v>
                      </c:pt>
                      <c:pt idx="2">
                        <c:v>1</c:v>
                      </c:pt>
                      <c:pt idx="3">
                        <c:v>1</c:v>
                      </c:pt>
                      <c:pt idx="4">
                        <c:v>0.95652173913043481</c:v>
                      </c:pt>
                      <c:pt idx="5">
                        <c:v>1</c:v>
                      </c:pt>
                      <c:pt idx="6">
                        <c:v>1</c:v>
                      </c:pt>
                      <c:pt idx="7">
                        <c:v>0.96</c:v>
                      </c:pt>
                      <c:pt idx="8">
                        <c:v>0.96199999999999997</c:v>
                      </c:pt>
                      <c:pt idx="9">
                        <c:v>0.96199999999999997</c:v>
                      </c:pt>
                    </c:numCache>
                  </c:numRef>
                </c:val>
                <c:smooth val="0"/>
                <c:extLst xmlns:c15="http://schemas.microsoft.com/office/drawing/2012/chart">
                  <c:ext xmlns:c16="http://schemas.microsoft.com/office/drawing/2014/chart" uri="{C3380CC4-5D6E-409C-BE32-E72D297353CC}">
                    <c16:uniqueId val="{0000000B-FF3C-4127-89E2-D7A7D7A39CD3}"/>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'Data warehouse'!$C$806</c15:sqref>
                        </c15:formulaRef>
                      </c:ext>
                    </c:extLst>
                    <c:strCache>
                      <c:ptCount val="1"/>
                      <c:pt idx="0">
                        <c:v> HDU</c:v>
                      </c:pt>
                    </c:strCache>
                  </c:strRef>
                </c:tx>
                <c:spPr>
                  <a:ln w="28575" cap="rnd">
                    <a:solidFill>
                      <a:schemeClr val="accent2">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warehouse'!$F$797:$O$797</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warehouse'!$F$806:$O$806</c15:sqref>
                        </c15:formulaRef>
                      </c:ext>
                    </c:extLst>
                    <c:numCache>
                      <c:formatCode>0%</c:formatCode>
                      <c:ptCount val="10"/>
                      <c:pt idx="0">
                        <c:v>0.88</c:v>
                      </c:pt>
                      <c:pt idx="1">
                        <c:v>1</c:v>
                      </c:pt>
                      <c:pt idx="2">
                        <c:v>1</c:v>
                      </c:pt>
                      <c:pt idx="3">
                        <c:v>1</c:v>
                      </c:pt>
                      <c:pt idx="4">
                        <c:v>1</c:v>
                      </c:pt>
                      <c:pt idx="5">
                        <c:v>1</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0C-FF3C-4127-89E2-D7A7D7A39CD3}"/>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'Data warehouse'!$C$807</c15:sqref>
                        </c15:formulaRef>
                      </c:ext>
                    </c:extLst>
                    <c:strCache>
                      <c:ptCount val="1"/>
                      <c:pt idx="0">
                        <c:v> Kenyon Ward</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warehouse'!$F$797:$O$797</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warehouse'!$F$807:$O$807</c15:sqref>
                        </c15:formulaRef>
                      </c:ext>
                    </c:extLst>
                    <c:numCache>
                      <c:formatCode>0%</c:formatCode>
                      <c:ptCount val="10"/>
                      <c:pt idx="0">
                        <c:v>0.95652173913043481</c:v>
                      </c:pt>
                      <c:pt idx="1">
                        <c:v>0.96296296296296291</c:v>
                      </c:pt>
                      <c:pt idx="2">
                        <c:v>0.96296296296296291</c:v>
                      </c:pt>
                      <c:pt idx="3">
                        <c:v>1</c:v>
                      </c:pt>
                      <c:pt idx="4">
                        <c:v>0.92592592592592593</c:v>
                      </c:pt>
                      <c:pt idx="5">
                        <c:v>1</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0D-FF3C-4127-89E2-D7A7D7A39CD3}"/>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'Data warehouse'!$C$808</c15:sqref>
                        </c15:formulaRef>
                      </c:ext>
                    </c:extLst>
                    <c:strCache>
                      <c:ptCount val="1"/>
                      <c:pt idx="0">
                        <c:v> Ludlow Ward</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warehouse'!$F$797:$O$797</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warehouse'!$F$808:$O$808</c15:sqref>
                        </c15:formulaRef>
                      </c:ext>
                    </c:extLst>
                    <c:numCache>
                      <c:formatCode>0%</c:formatCode>
                      <c:ptCount val="10"/>
                      <c:pt idx="0">
                        <c:v>0.75862068965517238</c:v>
                      </c:pt>
                      <c:pt idx="1">
                        <c:v>1</c:v>
                      </c:pt>
                      <c:pt idx="2">
                        <c:v>1</c:v>
                      </c:pt>
                      <c:pt idx="3">
                        <c:v>1</c:v>
                      </c:pt>
                      <c:pt idx="4">
                        <c:v>1</c:v>
                      </c:pt>
                      <c:pt idx="5">
                        <c:v>1</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0E-FF3C-4127-89E2-D7A7D7A39CD3}"/>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'Data warehouse'!$C$809</c15:sqref>
                        </c15:formulaRef>
                      </c:ext>
                    </c:extLst>
                    <c:strCache>
                      <c:ptCount val="1"/>
                      <c:pt idx="0">
                        <c:v> Powys Ward</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warehouse'!$F$797:$O$797</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warehouse'!$F$809:$O$809</c15:sqref>
                        </c15:formulaRef>
                      </c:ext>
                    </c:extLst>
                    <c:numCache>
                      <c:formatCode>0%</c:formatCode>
                      <c:ptCount val="10"/>
                      <c:pt idx="0">
                        <c:v>0.92592592592592593</c:v>
                      </c:pt>
                      <c:pt idx="1">
                        <c:v>1</c:v>
                      </c:pt>
                      <c:pt idx="2">
                        <c:v>1</c:v>
                      </c:pt>
                      <c:pt idx="3">
                        <c:v>1</c:v>
                      </c:pt>
                      <c:pt idx="4">
                        <c:v>0.8571428571428571</c:v>
                      </c:pt>
                      <c:pt idx="5">
                        <c:v>0.96299999999999997</c:v>
                      </c:pt>
                      <c:pt idx="6">
                        <c:v>1</c:v>
                      </c:pt>
                      <c:pt idx="7">
                        <c:v>1</c:v>
                      </c:pt>
                      <c:pt idx="8">
                        <c:v>0.96299999999999997</c:v>
                      </c:pt>
                      <c:pt idx="9">
                        <c:v>0.96299999999999997</c:v>
                      </c:pt>
                    </c:numCache>
                  </c:numRef>
                </c:val>
                <c:smooth val="0"/>
                <c:extLst xmlns:c15="http://schemas.microsoft.com/office/drawing/2012/chart">
                  <c:ext xmlns:c16="http://schemas.microsoft.com/office/drawing/2014/chart" uri="{C3380CC4-5D6E-409C-BE32-E72D297353CC}">
                    <c16:uniqueId val="{0000000F-FF3C-4127-89E2-D7A7D7A39CD3}"/>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'Data warehouse'!$C$811</c15:sqref>
                        </c15:formulaRef>
                      </c:ext>
                    </c:extLst>
                    <c:strCache>
                      <c:ptCount val="1"/>
                      <c:pt idx="0">
                        <c:v> Recovery</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warehouse'!$F$797:$O$797</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warehouse'!$F$811:$O$811</c15:sqref>
                        </c15:formulaRef>
                      </c:ext>
                    </c:extLst>
                    <c:numCache>
                      <c:formatCode>0%</c:formatCode>
                      <c:ptCount val="10"/>
                      <c:pt idx="0">
                        <c:v>0.96153846153846156</c:v>
                      </c:pt>
                      <c:pt idx="1">
                        <c:v>1</c:v>
                      </c:pt>
                      <c:pt idx="2">
                        <c:v>1</c:v>
                      </c:pt>
                      <c:pt idx="3">
                        <c:v>0.96153846153846156</c:v>
                      </c:pt>
                      <c:pt idx="4">
                        <c:v>0.96</c:v>
                      </c:pt>
                      <c:pt idx="5">
                        <c:v>0.93100000000000005</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10-FF3C-4127-89E2-D7A7D7A39CD3}"/>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'Data warehouse'!$C$812</c15:sqref>
                        </c15:formulaRef>
                      </c:ext>
                    </c:extLst>
                    <c:strCache>
                      <c:ptCount val="1"/>
                      <c:pt idx="0">
                        <c:v> Theatres and Anaesthetics</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warehouse'!$F$797:$O$797</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warehouse'!$F$812:$O$812</c15:sqref>
                        </c15:formulaRef>
                      </c:ext>
                    </c:extLst>
                    <c:numCache>
                      <c:formatCode>0%</c:formatCode>
                      <c:ptCount val="10"/>
                      <c:pt idx="0">
                        <c:v>1</c:v>
                      </c:pt>
                      <c:pt idx="1">
                        <c:v>1</c:v>
                      </c:pt>
                      <c:pt idx="2">
                        <c:v>1</c:v>
                      </c:pt>
                      <c:pt idx="3">
                        <c:v>1</c:v>
                      </c:pt>
                      <c:pt idx="4">
                        <c:v>0.97368421052631582</c:v>
                      </c:pt>
                      <c:pt idx="5">
                        <c:v>1</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11-FF3C-4127-89E2-D7A7D7A39CD3}"/>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'Data warehouse'!$C$813</c15:sqref>
                        </c15:formulaRef>
                      </c:ext>
                    </c:extLst>
                    <c:strCache>
                      <c:ptCount val="1"/>
                      <c:pt idx="0">
                        <c:v> TSSU</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warehouse'!$F$797:$O$797</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warehouse'!$F$813:$O$813</c15:sqref>
                        </c15:formulaRef>
                      </c:ext>
                    </c:extLst>
                    <c:numCache>
                      <c:formatCode>0%</c:formatCode>
                      <c:ptCount val="10"/>
                      <c:pt idx="0">
                        <c:v>0.625</c:v>
                      </c:pt>
                      <c:pt idx="1">
                        <c:v>0.75</c:v>
                      </c:pt>
                      <c:pt idx="2">
                        <c:v>0.75</c:v>
                      </c:pt>
                      <c:pt idx="3">
                        <c:v>0.78260869565217395</c:v>
                      </c:pt>
                      <c:pt idx="4">
                        <c:v>1</c:v>
                      </c:pt>
                      <c:pt idx="5">
                        <c:v>0.87</c:v>
                      </c:pt>
                      <c:pt idx="6">
                        <c:v>0.85699999999999998</c:v>
                      </c:pt>
                      <c:pt idx="7">
                        <c:v>0.9</c:v>
                      </c:pt>
                      <c:pt idx="8">
                        <c:v>0.87</c:v>
                      </c:pt>
                      <c:pt idx="9">
                        <c:v>0.87</c:v>
                      </c:pt>
                    </c:numCache>
                  </c:numRef>
                </c:val>
                <c:smooth val="0"/>
                <c:extLst xmlns:c15="http://schemas.microsoft.com/office/drawing/2012/chart">
                  <c:ext xmlns:c16="http://schemas.microsoft.com/office/drawing/2014/chart" uri="{C3380CC4-5D6E-409C-BE32-E72D297353CC}">
                    <c16:uniqueId val="{00000012-FF3C-4127-89E2-D7A7D7A39CD3}"/>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'Data warehouse'!$C$814</c15:sqref>
                        </c15:formulaRef>
                      </c:ext>
                    </c:extLst>
                    <c:strCache>
                      <c:ptCount val="1"/>
                      <c:pt idx="0">
                        <c:v> Alice Ward</c:v>
                      </c:pt>
                    </c:strCache>
                  </c:strRef>
                </c:tx>
                <c:spPr>
                  <a:ln w="28575" cap="rnd">
                    <a:solidFill>
                      <a:schemeClr val="accent3">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warehouse'!$F$797:$O$797</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warehouse'!$F$814:$O$814</c15:sqref>
                        </c15:formulaRef>
                      </c:ext>
                    </c:extLst>
                    <c:numCache>
                      <c:formatCode>0%</c:formatCode>
                      <c:ptCount val="10"/>
                      <c:pt idx="0">
                        <c:v>0.96153846153846156</c:v>
                      </c:pt>
                      <c:pt idx="1">
                        <c:v>1</c:v>
                      </c:pt>
                      <c:pt idx="2">
                        <c:v>1</c:v>
                      </c:pt>
                      <c:pt idx="3">
                        <c:v>1</c:v>
                      </c:pt>
                      <c:pt idx="4">
                        <c:v>0.96</c:v>
                      </c:pt>
                      <c:pt idx="5">
                        <c:v>0.96199999999999997</c:v>
                      </c:pt>
                      <c:pt idx="6">
                        <c:v>0.96599999999999997</c:v>
                      </c:pt>
                      <c:pt idx="7">
                        <c:v>0.93300000000000005</c:v>
                      </c:pt>
                      <c:pt idx="8">
                        <c:v>0.96699999999999997</c:v>
                      </c:pt>
                      <c:pt idx="9">
                        <c:v>0.96699999999999997</c:v>
                      </c:pt>
                    </c:numCache>
                  </c:numRef>
                </c:val>
                <c:smooth val="0"/>
                <c:extLst xmlns:c15="http://schemas.microsoft.com/office/drawing/2012/chart">
                  <c:ext xmlns:c16="http://schemas.microsoft.com/office/drawing/2014/chart" uri="{C3380CC4-5D6E-409C-BE32-E72D297353CC}">
                    <c16:uniqueId val="{00000013-FF3C-4127-89E2-D7A7D7A39CD3}"/>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'Data warehouse'!$C$815</c15:sqref>
                        </c15:formulaRef>
                      </c:ext>
                    </c:extLst>
                    <c:strCache>
                      <c:ptCount val="1"/>
                      <c:pt idx="0">
                        <c:v> Gladstone Ward</c:v>
                      </c:pt>
                    </c:strCache>
                  </c:strRef>
                </c:tx>
                <c:spPr>
                  <a:ln w="28575" cap="rnd">
                    <a:solidFill>
                      <a:schemeClr val="accent4">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warehouse'!$F$797:$O$797</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warehouse'!$F$815:$O$815</c15:sqref>
                        </c15:formulaRef>
                      </c:ext>
                    </c:extLst>
                    <c:numCache>
                      <c:formatCode>0%</c:formatCode>
                      <c:ptCount val="10"/>
                      <c:pt idx="0">
                        <c:v>0.86046511627906974</c:v>
                      </c:pt>
                      <c:pt idx="1">
                        <c:v>0.97674418604651159</c:v>
                      </c:pt>
                      <c:pt idx="2">
                        <c:v>0.97619047619047616</c:v>
                      </c:pt>
                      <c:pt idx="3">
                        <c:v>0.97499999999999998</c:v>
                      </c:pt>
                      <c:pt idx="4">
                        <c:v>0.93939393939393945</c:v>
                      </c:pt>
                      <c:pt idx="5">
                        <c:v>1</c:v>
                      </c:pt>
                      <c:pt idx="6">
                        <c:v>0.94299999999999995</c:v>
                      </c:pt>
                      <c:pt idx="7">
                        <c:v>0.94699999999999995</c:v>
                      </c:pt>
                      <c:pt idx="8">
                        <c:v>0.92700000000000005</c:v>
                      </c:pt>
                      <c:pt idx="9">
                        <c:v>0.92700000000000005</c:v>
                      </c:pt>
                    </c:numCache>
                  </c:numRef>
                </c:val>
                <c:smooth val="0"/>
                <c:extLst xmlns:c15="http://schemas.microsoft.com/office/drawing/2012/chart">
                  <c:ext xmlns:c16="http://schemas.microsoft.com/office/drawing/2014/chart" uri="{C3380CC4-5D6E-409C-BE32-E72D297353CC}">
                    <c16:uniqueId val="{00000014-FF3C-4127-89E2-D7A7D7A39CD3}"/>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'Data warehouse'!$C$816</c15:sqref>
                        </c15:formulaRef>
                      </c:ext>
                    </c:extLst>
                    <c:strCache>
                      <c:ptCount val="1"/>
                      <c:pt idx="0">
                        <c:v> Montgomery</c:v>
                      </c:pt>
                    </c:strCache>
                  </c:strRef>
                </c:tx>
                <c:spPr>
                  <a:ln w="28575" cap="rnd">
                    <a:solidFill>
                      <a:schemeClr val="accent5">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warehouse'!$F$797:$O$797</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warehouse'!$F$816:$O$816</c15:sqref>
                        </c15:formulaRef>
                      </c:ext>
                    </c:extLst>
                    <c:numCache>
                      <c:formatCode>0%</c:formatCode>
                      <c:ptCount val="10"/>
                      <c:pt idx="0">
                        <c:v>1</c:v>
                      </c:pt>
                      <c:pt idx="1">
                        <c:v>1</c:v>
                      </c:pt>
                      <c:pt idx="2">
                        <c:v>1</c:v>
                      </c:pt>
                      <c:pt idx="3">
                        <c:v>1</c:v>
                      </c:pt>
                      <c:pt idx="4">
                        <c:v>1</c:v>
                      </c:pt>
                      <c:pt idx="5">
                        <c:v>1</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15-FF3C-4127-89E2-D7A7D7A39CD3}"/>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'Data warehouse'!$C$817</c15:sqref>
                        </c15:formulaRef>
                      </c:ext>
                    </c:extLst>
                    <c:strCache>
                      <c:ptCount val="1"/>
                      <c:pt idx="0">
                        <c:v> ORLAU</c:v>
                      </c:pt>
                    </c:strCache>
                  </c:strRef>
                </c:tx>
                <c:spPr>
                  <a:ln w="28575" cap="rnd">
                    <a:solidFill>
                      <a:schemeClr val="accent6">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warehouse'!$F$797:$O$797</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warehouse'!$F$817:$O$817</c15:sqref>
                        </c15:formulaRef>
                      </c:ext>
                    </c:extLst>
                    <c:numCache>
                      <c:formatCode>0%</c:formatCode>
                      <c:ptCount val="10"/>
                      <c:pt idx="0">
                        <c:v>0.58333333333333337</c:v>
                      </c:pt>
                      <c:pt idx="1">
                        <c:v>0.91666666666666663</c:v>
                      </c:pt>
                      <c:pt idx="2">
                        <c:v>0.91666666666666663</c:v>
                      </c:pt>
                      <c:pt idx="3">
                        <c:v>0.96153846153846156</c:v>
                      </c:pt>
                      <c:pt idx="4">
                        <c:v>1</c:v>
                      </c:pt>
                      <c:pt idx="5">
                        <c:v>1</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16-FF3C-4127-89E2-D7A7D7A39CD3}"/>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'Data warehouse'!$C$818</c15:sqref>
                        </c15:formulaRef>
                      </c:ext>
                    </c:extLst>
                    <c:strCache>
                      <c:ptCount val="1"/>
                      <c:pt idx="0">
                        <c:v> Oswald Ward</c:v>
                      </c:pt>
                    </c:strCache>
                  </c:strRef>
                </c:tx>
                <c:spPr>
                  <a:ln w="28575" cap="rnd">
                    <a:solidFill>
                      <a:schemeClr val="accent1">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warehouse'!$F$797:$O$797</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warehouse'!$F$818:$O$818</c15:sqref>
                        </c15:formulaRef>
                      </c:ext>
                    </c:extLst>
                    <c:numCache>
                      <c:formatCode>0%</c:formatCode>
                      <c:ptCount val="10"/>
                      <c:pt idx="0">
                        <c:v>1</c:v>
                      </c:pt>
                      <c:pt idx="1">
                        <c:v>1</c:v>
                      </c:pt>
                      <c:pt idx="2">
                        <c:v>1</c:v>
                      </c:pt>
                      <c:pt idx="3">
                        <c:v>1</c:v>
                      </c:pt>
                      <c:pt idx="4">
                        <c:v>0.93103448275862066</c:v>
                      </c:pt>
                      <c:pt idx="5">
                        <c:v>1</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17-FF3C-4127-89E2-D7A7D7A39CD3}"/>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'Data warehouse'!$C$819</c15:sqref>
                        </c15:formulaRef>
                      </c:ext>
                    </c:extLst>
                    <c:strCache>
                      <c:ptCount val="1"/>
                      <c:pt idx="0">
                        <c:v> Sheldon Ward</c:v>
                      </c:pt>
                    </c:strCache>
                  </c:strRef>
                </c:tx>
                <c:spPr>
                  <a:ln w="28575" cap="rnd">
                    <a:solidFill>
                      <a:schemeClr val="accent2">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warehouse'!$F$797:$O$797</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warehouse'!$F$819:$O$819</c15:sqref>
                        </c15:formulaRef>
                      </c:ext>
                    </c:extLst>
                    <c:numCache>
                      <c:formatCode>0%</c:formatCode>
                      <c:ptCount val="10"/>
                      <c:pt idx="0">
                        <c:v>0.82352941176470584</c:v>
                      </c:pt>
                      <c:pt idx="1">
                        <c:v>0.96969696969696972</c:v>
                      </c:pt>
                      <c:pt idx="2">
                        <c:v>0.96969696969696972</c:v>
                      </c:pt>
                      <c:pt idx="3">
                        <c:v>1</c:v>
                      </c:pt>
                      <c:pt idx="4">
                        <c:v>1</c:v>
                      </c:pt>
                      <c:pt idx="5">
                        <c:v>1</c:v>
                      </c:pt>
                      <c:pt idx="6">
                        <c:v>1</c:v>
                      </c:pt>
                      <c:pt idx="7">
                        <c:v>0.97</c:v>
                      </c:pt>
                      <c:pt idx="8">
                        <c:v>0.86499999999999999</c:v>
                      </c:pt>
                      <c:pt idx="9">
                        <c:v>0.86499999999999999</c:v>
                      </c:pt>
                    </c:numCache>
                  </c:numRef>
                </c:val>
                <c:smooth val="0"/>
                <c:extLst xmlns:c15="http://schemas.microsoft.com/office/drawing/2012/chart">
                  <c:ext xmlns:c16="http://schemas.microsoft.com/office/drawing/2014/chart" uri="{C3380CC4-5D6E-409C-BE32-E72D297353CC}">
                    <c16:uniqueId val="{00000018-FF3C-4127-89E2-D7A7D7A39CD3}"/>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'Data warehouse'!$C$820</c15:sqref>
                        </c15:formulaRef>
                      </c:ext>
                    </c:extLst>
                    <c:strCache>
                      <c:ptCount val="1"/>
                      <c:pt idx="0">
                        <c:v> Wrekin Ward</c:v>
                      </c:pt>
                    </c:strCache>
                  </c:strRef>
                </c:tx>
                <c:spPr>
                  <a:ln w="28575" cap="rnd">
                    <a:solidFill>
                      <a:schemeClr val="accent3">
                        <a:lumMod val="8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2400" b="0" i="0" u="none" strike="noStrike" kern="1200" baseline="0">
                          <a:solidFill>
                            <a:schemeClr val="bg1"/>
                          </a:solidFill>
                          <a:latin typeface="Arial Nova"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'Data warehouse'!$F$797:$O$797</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warehouse'!$F$820:$O$820</c15:sqref>
                        </c15:formulaRef>
                      </c:ext>
                    </c:extLst>
                    <c:numCache>
                      <c:formatCode>0%</c:formatCode>
                      <c:ptCount val="10"/>
                      <c:pt idx="0">
                        <c:v>0.93103448275862066</c:v>
                      </c:pt>
                      <c:pt idx="1">
                        <c:v>1</c:v>
                      </c:pt>
                      <c:pt idx="2">
                        <c:v>1</c:v>
                      </c:pt>
                      <c:pt idx="3">
                        <c:v>0.967741935483871</c:v>
                      </c:pt>
                      <c:pt idx="4">
                        <c:v>0.967741935483871</c:v>
                      </c:pt>
                      <c:pt idx="5">
                        <c:v>1</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19-FF3C-4127-89E2-D7A7D7A39CD3}"/>
                  </c:ext>
                </c:extLst>
              </c15:ser>
            </c15:filteredLineSeries>
          </c:ext>
        </c:extLst>
      </c:lineChart>
      <c:catAx>
        <c:axId val="538082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538075440"/>
        <c:crosses val="autoZero"/>
        <c:auto val="1"/>
        <c:lblAlgn val="ctr"/>
        <c:lblOffset val="100"/>
        <c:noMultiLvlLbl val="0"/>
      </c:catAx>
      <c:valAx>
        <c:axId val="538075440"/>
        <c:scaling>
          <c:orientation val="minMax"/>
          <c:max val="1"/>
          <c:min val="0.8"/>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53808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Arial Nova" panose="020B0504020202020204" pitchFamily="34" charset="0"/>
                <a:ea typeface="+mn-ea"/>
                <a:cs typeface="+mn-cs"/>
              </a:defRPr>
            </a:pPr>
            <a:r>
              <a:rPr lang="en-GB" sz="1050" b="1" baseline="0">
                <a:solidFill>
                  <a:sysClr val="windowText" lastClr="000000"/>
                </a:solidFill>
                <a:latin typeface="Arial Nova" panose="020B0504020202020204" pitchFamily="34" charset="0"/>
              </a:rPr>
              <a:t>Donning &amp; Doffing   </a:t>
            </a:r>
            <a:endParaRPr lang="en-GB" sz="1050" b="1">
              <a:solidFill>
                <a:sysClr val="windowText" lastClr="000000"/>
              </a:solidFill>
              <a:latin typeface="Arial Nova" panose="020B0504020202020204" pitchFamily="34" charset="0"/>
            </a:endParaRPr>
          </a:p>
        </c:rich>
      </c:tx>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Arial Nova" panose="020B0504020202020204" pitchFamily="34" charset="0"/>
              <a:ea typeface="+mn-ea"/>
              <a:cs typeface="+mn-cs"/>
            </a:defRPr>
          </a:pPr>
          <a:endParaRPr lang="en-US"/>
        </a:p>
      </c:txPr>
    </c:title>
    <c:autoTitleDeleted val="0"/>
    <c:plotArea>
      <c:layout/>
      <c:lineChart>
        <c:grouping val="standard"/>
        <c:varyColors val="0"/>
        <c:ser>
          <c:idx val="21"/>
          <c:order val="21"/>
          <c:tx>
            <c:strRef>
              <c:f>'Data warehouse'!$C$794</c:f>
              <c:strCache>
                <c:ptCount val="1"/>
                <c:pt idx="0">
                  <c:v>AVERAGE</c:v>
                </c:pt>
              </c:strCache>
            </c:strRef>
          </c:tx>
          <c:spPr>
            <a:ln w="28575" cap="rnd">
              <a:solidFill>
                <a:schemeClr val="accent4">
                  <a:lumMod val="80000"/>
                </a:schemeClr>
              </a:solidFill>
              <a:round/>
            </a:ln>
            <a:effectLst/>
          </c:spPr>
          <c:marker>
            <c:symbol val="none"/>
          </c:marker>
          <c:dPt>
            <c:idx val="0"/>
            <c:marker>
              <c:symbol val="none"/>
            </c:marker>
            <c:bubble3D val="0"/>
            <c:spPr>
              <a:ln w="28575" cap="rnd">
                <a:solidFill>
                  <a:schemeClr val="accent4">
                    <a:lumMod val="80000"/>
                  </a:schemeClr>
                </a:solidFill>
                <a:round/>
              </a:ln>
              <a:effectLst/>
            </c:spPr>
            <c:extLst>
              <c:ext xmlns:c16="http://schemas.microsoft.com/office/drawing/2014/chart" uri="{C3380CC4-5D6E-409C-BE32-E72D297353CC}">
                <c16:uniqueId val="{00000001-F6DF-4DBB-8E2D-B75474018701}"/>
              </c:ext>
            </c:extLst>
          </c:dPt>
          <c:dPt>
            <c:idx val="1"/>
            <c:marker>
              <c:symbol val="none"/>
            </c:marker>
            <c:bubble3D val="0"/>
            <c:spPr>
              <a:ln w="28575" cap="rnd">
                <a:solidFill>
                  <a:schemeClr val="accent4">
                    <a:lumMod val="80000"/>
                  </a:schemeClr>
                </a:solidFill>
                <a:round/>
              </a:ln>
              <a:effectLst/>
            </c:spPr>
            <c:extLst>
              <c:ext xmlns:c16="http://schemas.microsoft.com/office/drawing/2014/chart" uri="{C3380CC4-5D6E-409C-BE32-E72D297353CC}">
                <c16:uniqueId val="{00000003-F6DF-4DBB-8E2D-B75474018701}"/>
              </c:ext>
            </c:extLst>
          </c:dPt>
          <c:dPt>
            <c:idx val="2"/>
            <c:marker>
              <c:symbol val="none"/>
            </c:marker>
            <c:bubble3D val="0"/>
            <c:spPr>
              <a:ln w="28575" cap="rnd">
                <a:solidFill>
                  <a:schemeClr val="accent4">
                    <a:lumMod val="80000"/>
                  </a:schemeClr>
                </a:solidFill>
                <a:round/>
              </a:ln>
              <a:effectLst/>
            </c:spPr>
            <c:extLst>
              <c:ext xmlns:c16="http://schemas.microsoft.com/office/drawing/2014/chart" uri="{C3380CC4-5D6E-409C-BE32-E72D297353CC}">
                <c16:uniqueId val="{00000005-F6DF-4DBB-8E2D-B75474018701}"/>
              </c:ext>
            </c:extLst>
          </c:dPt>
          <c:dPt>
            <c:idx val="3"/>
            <c:marker>
              <c:symbol val="none"/>
            </c:marker>
            <c:bubble3D val="0"/>
            <c:spPr>
              <a:ln w="28575" cap="rnd">
                <a:solidFill>
                  <a:schemeClr val="accent4">
                    <a:lumMod val="80000"/>
                  </a:schemeClr>
                </a:solidFill>
                <a:round/>
              </a:ln>
              <a:effectLst/>
            </c:spPr>
            <c:extLst>
              <c:ext xmlns:c16="http://schemas.microsoft.com/office/drawing/2014/chart" uri="{C3380CC4-5D6E-409C-BE32-E72D297353CC}">
                <c16:uniqueId val="{00000007-F6DF-4DBB-8E2D-B75474018701}"/>
              </c:ext>
            </c:extLst>
          </c:dPt>
          <c:cat>
            <c:strRef>
              <c:f>'Data warehouse'!$F$770:$O$770</c:f>
              <c:strCache>
                <c:ptCount val="10"/>
                <c:pt idx="0">
                  <c:v>Jun-22</c:v>
                </c:pt>
                <c:pt idx="1">
                  <c:v>Jul-22</c:v>
                </c:pt>
                <c:pt idx="2">
                  <c:v>Aug-22</c:v>
                </c:pt>
                <c:pt idx="3">
                  <c:v>Sep-22</c:v>
                </c:pt>
                <c:pt idx="4">
                  <c:v>Oct-22</c:v>
                </c:pt>
                <c:pt idx="5">
                  <c:v>Nov-22</c:v>
                </c:pt>
                <c:pt idx="6">
                  <c:v>Dec-22</c:v>
                </c:pt>
                <c:pt idx="7">
                  <c:v>Jan-23</c:v>
                </c:pt>
                <c:pt idx="8">
                  <c:v>Feb-23</c:v>
                </c:pt>
                <c:pt idx="9">
                  <c:v>Mar-23</c:v>
                </c:pt>
              </c:strCache>
              <c:extLst/>
            </c:strRef>
          </c:cat>
          <c:val>
            <c:numRef>
              <c:f>'Data warehouse'!$F$794:$O$794</c:f>
              <c:numCache>
                <c:formatCode>0%</c:formatCode>
                <c:ptCount val="10"/>
                <c:pt idx="0">
                  <c:v>0.82285580912002532</c:v>
                </c:pt>
                <c:pt idx="1">
                  <c:v>0.92652044381034315</c:v>
                </c:pt>
                <c:pt idx="2">
                  <c:v>0.93795407372773099</c:v>
                </c:pt>
                <c:pt idx="3">
                  <c:v>0.96950648961493968</c:v>
                </c:pt>
                <c:pt idx="4">
                  <c:v>0.96439436746646801</c:v>
                </c:pt>
                <c:pt idx="5">
                  <c:v>0.97663636363636352</c:v>
                </c:pt>
                <c:pt idx="6">
                  <c:v>0.98609090909090902</c:v>
                </c:pt>
                <c:pt idx="7">
                  <c:v>0.98309090909090913</c:v>
                </c:pt>
                <c:pt idx="8">
                  <c:v>0.97209090909090901</c:v>
                </c:pt>
                <c:pt idx="9">
                  <c:v>0.97209090909090901</c:v>
                </c:pt>
              </c:numCache>
              <c:extLst/>
            </c:numRef>
          </c:val>
          <c:smooth val="0"/>
          <c:extLst>
            <c:ext xmlns:c16="http://schemas.microsoft.com/office/drawing/2014/chart" uri="{C3380CC4-5D6E-409C-BE32-E72D297353CC}">
              <c16:uniqueId val="{00000008-F6DF-4DBB-8E2D-B75474018701}"/>
            </c:ext>
          </c:extLst>
        </c:ser>
        <c:ser>
          <c:idx val="0"/>
          <c:order val="0"/>
          <c:tx>
            <c:strRef>
              <c:f>'Data warehouse'!$C$771</c:f>
              <c:strCache>
                <c:ptCount val="1"/>
                <c:pt idx="0">
                  <c:v>Target</c:v>
                </c:pt>
              </c:strCache>
            </c:strRef>
          </c:tx>
          <c:spPr>
            <a:ln w="25400" cap="rnd">
              <a:solidFill>
                <a:srgbClr val="FF0000"/>
              </a:solidFill>
              <a:round/>
            </a:ln>
            <a:effectLst/>
          </c:spPr>
          <c:marker>
            <c:symbol val="none"/>
          </c:marker>
          <c:cat>
            <c:strRef>
              <c:f>'Data warehouse'!$F$770:$O$770</c:f>
              <c:strCache>
                <c:ptCount val="10"/>
                <c:pt idx="0">
                  <c:v>Jun-22</c:v>
                </c:pt>
                <c:pt idx="1">
                  <c:v>Jul-22</c:v>
                </c:pt>
                <c:pt idx="2">
                  <c:v>Aug-22</c:v>
                </c:pt>
                <c:pt idx="3">
                  <c:v>Sep-22</c:v>
                </c:pt>
                <c:pt idx="4">
                  <c:v>Oct-22</c:v>
                </c:pt>
                <c:pt idx="5">
                  <c:v>Nov-22</c:v>
                </c:pt>
                <c:pt idx="6">
                  <c:v>Dec-22</c:v>
                </c:pt>
                <c:pt idx="7">
                  <c:v>Jan-23</c:v>
                </c:pt>
                <c:pt idx="8">
                  <c:v>Feb-23</c:v>
                </c:pt>
                <c:pt idx="9">
                  <c:v>Mar-23</c:v>
                </c:pt>
              </c:strCache>
              <c:extLst/>
            </c:strRef>
          </c:cat>
          <c:val>
            <c:numRef>
              <c:f>'Data warehouse'!$F$771:$O$771</c:f>
              <c:numCache>
                <c:formatCode>0%</c:formatCode>
                <c:ptCount val="10"/>
                <c:pt idx="0">
                  <c:v>0.92</c:v>
                </c:pt>
                <c:pt idx="1">
                  <c:v>0.92</c:v>
                </c:pt>
                <c:pt idx="2">
                  <c:v>0.92</c:v>
                </c:pt>
                <c:pt idx="3">
                  <c:v>0.92</c:v>
                </c:pt>
                <c:pt idx="4">
                  <c:v>0.92</c:v>
                </c:pt>
                <c:pt idx="5">
                  <c:v>0.92</c:v>
                </c:pt>
                <c:pt idx="6">
                  <c:v>0.92</c:v>
                </c:pt>
                <c:pt idx="7">
                  <c:v>0.92</c:v>
                </c:pt>
                <c:pt idx="8">
                  <c:v>0.92</c:v>
                </c:pt>
                <c:pt idx="9">
                  <c:v>0.92</c:v>
                </c:pt>
              </c:numCache>
              <c:extLst/>
            </c:numRef>
          </c:val>
          <c:smooth val="0"/>
          <c:extLst>
            <c:ext xmlns:c16="http://schemas.microsoft.com/office/drawing/2014/chart" uri="{C3380CC4-5D6E-409C-BE32-E72D297353CC}">
              <c16:uniqueId val="{00000009-F6DF-4DBB-8E2D-B75474018701}"/>
            </c:ext>
          </c:extLst>
        </c:ser>
        <c:dLbls>
          <c:showLegendKey val="0"/>
          <c:showVal val="0"/>
          <c:showCatName val="0"/>
          <c:showSerName val="0"/>
          <c:showPercent val="0"/>
          <c:showBubbleSize val="0"/>
        </c:dLbls>
        <c:smooth val="0"/>
        <c:axId val="538082928"/>
        <c:axId val="538075440"/>
        <c:extLst>
          <c:ext xmlns:c15="http://schemas.microsoft.com/office/drawing/2012/chart" uri="{02D57815-91ED-43cb-92C2-25804820EDAC}">
            <c15:filteredLineSeries>
              <c15:ser>
                <c:idx val="1"/>
                <c:order val="1"/>
                <c:tx>
                  <c:strRef>
                    <c:extLst>
                      <c:ext uri="{02D57815-91ED-43cb-92C2-25804820EDAC}">
                        <c15:formulaRef>
                          <c15:sqref>'Data warehouse'!$C$772</c15:sqref>
                        </c15:formulaRef>
                      </c:ext>
                    </c:extLst>
                    <c:strCache>
                      <c:ptCount val="1"/>
                      <c:pt idx="0">
                        <c:v> Orthotics</c:v>
                      </c:pt>
                    </c:strCache>
                  </c:strRef>
                </c:tx>
                <c:spPr>
                  <a:ln w="28575" cap="rnd">
                    <a:solidFill>
                      <a:schemeClr val="accent2"/>
                    </a:solidFill>
                    <a:round/>
                  </a:ln>
                  <a:effectLst/>
                </c:spPr>
                <c:marker>
                  <c:symbol val="none"/>
                </c:marker>
                <c:cat>
                  <c:strRef>
                    <c:extLst>
                      <c:ext uri="{02D57815-91ED-43cb-92C2-25804820EDAC}">
                        <c15:formulaRef>
                          <c15:sqref>'Data warehouse'!$F$770:$O$770</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c:ext uri="{02D57815-91ED-43cb-92C2-25804820EDAC}">
                        <c15:formulaRef>
                          <c15:sqref>'Data warehouse'!$F$772:$O$772</c15:sqref>
                        </c15:formulaRef>
                      </c:ext>
                    </c:extLst>
                    <c:numCache>
                      <c:formatCode>0%</c:formatCode>
                      <c:ptCount val="10"/>
                      <c:pt idx="0">
                        <c:v>0.76923076923076927</c:v>
                      </c:pt>
                      <c:pt idx="1">
                        <c:v>0.92307692307692313</c:v>
                      </c:pt>
                      <c:pt idx="2">
                        <c:v>0.9375</c:v>
                      </c:pt>
                      <c:pt idx="3">
                        <c:v>0.94117647058823528</c:v>
                      </c:pt>
                      <c:pt idx="4">
                        <c:v>1</c:v>
                      </c:pt>
                      <c:pt idx="5">
                        <c:v>1</c:v>
                      </c:pt>
                      <c:pt idx="6">
                        <c:v>1</c:v>
                      </c:pt>
                      <c:pt idx="7">
                        <c:v>1</c:v>
                      </c:pt>
                      <c:pt idx="8">
                        <c:v>1</c:v>
                      </c:pt>
                      <c:pt idx="9">
                        <c:v>1</c:v>
                      </c:pt>
                    </c:numCache>
                  </c:numRef>
                </c:val>
                <c:smooth val="0"/>
                <c:extLst>
                  <c:ext xmlns:c16="http://schemas.microsoft.com/office/drawing/2014/chart" uri="{C3380CC4-5D6E-409C-BE32-E72D297353CC}">
                    <c16:uniqueId val="{0000000A-F6DF-4DBB-8E2D-B75474018701}"/>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'Data warehouse'!$C$774</c15:sqref>
                        </c15:formulaRef>
                      </c:ext>
                    </c:extLst>
                    <c:strCache>
                      <c:ptCount val="1"/>
                      <c:pt idx="0">
                        <c:v> Pharmacy</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warehouse'!$F$770:$O$770</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warehouse'!$F$774:$O$774</c15:sqref>
                        </c15:formulaRef>
                      </c:ext>
                    </c:extLst>
                    <c:numCache>
                      <c:formatCode>0%</c:formatCode>
                      <c:ptCount val="10"/>
                      <c:pt idx="0">
                        <c:v>0.68965517241379315</c:v>
                      </c:pt>
                      <c:pt idx="1">
                        <c:v>0.88461538461538458</c:v>
                      </c:pt>
                      <c:pt idx="2">
                        <c:v>0.88461538461538458</c:v>
                      </c:pt>
                      <c:pt idx="3">
                        <c:v>0.88461538461538458</c:v>
                      </c:pt>
                      <c:pt idx="4">
                        <c:v>1</c:v>
                      </c:pt>
                      <c:pt idx="5">
                        <c:v>0.92</c:v>
                      </c:pt>
                      <c:pt idx="6">
                        <c:v>0.92300000000000004</c:v>
                      </c:pt>
                      <c:pt idx="7">
                        <c:v>0.96299999999999997</c:v>
                      </c:pt>
                      <c:pt idx="8">
                        <c:v>0.96199999999999997</c:v>
                      </c:pt>
                      <c:pt idx="9">
                        <c:v>0.96199999999999997</c:v>
                      </c:pt>
                    </c:numCache>
                  </c:numRef>
                </c:val>
                <c:smooth val="0"/>
                <c:extLst xmlns:c15="http://schemas.microsoft.com/office/drawing/2012/chart">
                  <c:ext xmlns:c16="http://schemas.microsoft.com/office/drawing/2014/chart" uri="{C3380CC4-5D6E-409C-BE32-E72D297353CC}">
                    <c16:uniqueId val="{0000000B-F6DF-4DBB-8E2D-B75474018701}"/>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'Data warehouse'!$C$775</c15:sqref>
                        </c15:formulaRef>
                      </c:ext>
                    </c:extLst>
                    <c:strCache>
                      <c:ptCount val="1"/>
                      <c:pt idx="0">
                        <c:v> Radiology </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warehouse'!$F$770:$O$770</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warehouse'!$F$775:$O$775</c15:sqref>
                        </c15:formulaRef>
                      </c:ext>
                    </c:extLst>
                    <c:numCache>
                      <c:formatCode>0%</c:formatCode>
                      <c:ptCount val="10"/>
                      <c:pt idx="0">
                        <c:v>0.2</c:v>
                      </c:pt>
                      <c:pt idx="1">
                        <c:v>0.5</c:v>
                      </c:pt>
                      <c:pt idx="2">
                        <c:v>0.55555555555555558</c:v>
                      </c:pt>
                      <c:pt idx="3">
                        <c:v>1</c:v>
                      </c:pt>
                      <c:pt idx="4">
                        <c:v>1</c:v>
                      </c:pt>
                      <c:pt idx="5">
                        <c:v>0.96599999999999997</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0C-F6DF-4DBB-8E2D-B7547401870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'Data warehouse'!$C$776</c15:sqref>
                        </c15:formulaRef>
                      </c:ext>
                    </c:extLst>
                    <c:strCache>
                      <c:ptCount val="1"/>
                      <c:pt idx="0">
                        <c:v> Therapies</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warehouse'!$F$770:$O$770</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warehouse'!$F$776:$O$776</c15:sqref>
                        </c15:formulaRef>
                      </c:ext>
                    </c:extLst>
                    <c:numCache>
                      <c:formatCode>0%</c:formatCode>
                      <c:ptCount val="10"/>
                      <c:pt idx="0">
                        <c:v>0.65555555555555556</c:v>
                      </c:pt>
                      <c:pt idx="1">
                        <c:v>0.9</c:v>
                      </c:pt>
                      <c:pt idx="2">
                        <c:v>0.92391304347826086</c:v>
                      </c:pt>
                      <c:pt idx="3">
                        <c:v>0.97916666666666663</c:v>
                      </c:pt>
                      <c:pt idx="4">
                        <c:v>1</c:v>
                      </c:pt>
                      <c:pt idx="5">
                        <c:v>0.92900000000000005</c:v>
                      </c:pt>
                      <c:pt idx="6">
                        <c:v>1</c:v>
                      </c:pt>
                      <c:pt idx="7">
                        <c:v>0.91700000000000004</c:v>
                      </c:pt>
                      <c:pt idx="8">
                        <c:v>0.91700000000000004</c:v>
                      </c:pt>
                      <c:pt idx="9">
                        <c:v>0.91700000000000004</c:v>
                      </c:pt>
                    </c:numCache>
                  </c:numRef>
                </c:val>
                <c:smooth val="0"/>
                <c:extLst xmlns:c15="http://schemas.microsoft.com/office/drawing/2012/chart">
                  <c:ext xmlns:c16="http://schemas.microsoft.com/office/drawing/2014/chart" uri="{C3380CC4-5D6E-409C-BE32-E72D297353CC}">
                    <c16:uniqueId val="{0000000D-F6DF-4DBB-8E2D-B75474018701}"/>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'Data warehouse'!$C$777</c15:sqref>
                        </c15:formulaRef>
                      </c:ext>
                    </c:extLst>
                    <c:strCache>
                      <c:ptCount val="1"/>
                      <c:pt idx="0">
                        <c:v> Baschurch Day Unit</c:v>
                      </c:pt>
                    </c:strCache>
                  </c:strRef>
                </c:tx>
                <c:spPr>
                  <a:ln w="28575"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warehouse'!$F$770:$O$770</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warehouse'!$F$777:$O$777</c15:sqref>
                        </c15:formulaRef>
                      </c:ext>
                    </c:extLst>
                    <c:numCache>
                      <c:formatCode>0%</c:formatCode>
                      <c:ptCount val="10"/>
                      <c:pt idx="0">
                        <c:v>1</c:v>
                      </c:pt>
                      <c:pt idx="1">
                        <c:v>1</c:v>
                      </c:pt>
                      <c:pt idx="2">
                        <c:v>1</c:v>
                      </c:pt>
                      <c:pt idx="3">
                        <c:v>1</c:v>
                      </c:pt>
                      <c:pt idx="4">
                        <c:v>1</c:v>
                      </c:pt>
                      <c:pt idx="5">
                        <c:v>1</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0E-F6DF-4DBB-8E2D-B75474018701}"/>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'Data warehouse'!$C$778</c15:sqref>
                        </c15:formulaRef>
                      </c:ext>
                    </c:extLst>
                    <c:strCache>
                      <c:ptCount val="1"/>
                      <c:pt idx="0">
                        <c:v> Clwyd Ward</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warehouse'!$F$770:$O$770</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warehouse'!$F$778:$O$778</c15:sqref>
                        </c15:formulaRef>
                      </c:ext>
                    </c:extLst>
                    <c:numCache>
                      <c:formatCode>0%</c:formatCode>
                      <c:ptCount val="10"/>
                      <c:pt idx="0">
                        <c:v>0.96153846153846156</c:v>
                      </c:pt>
                      <c:pt idx="1">
                        <c:v>1</c:v>
                      </c:pt>
                      <c:pt idx="2">
                        <c:v>1</c:v>
                      </c:pt>
                      <c:pt idx="3">
                        <c:v>1</c:v>
                      </c:pt>
                      <c:pt idx="4">
                        <c:v>1</c:v>
                      </c:pt>
                      <c:pt idx="5">
                        <c:v>1</c:v>
                      </c:pt>
                      <c:pt idx="6">
                        <c:v>1</c:v>
                      </c:pt>
                      <c:pt idx="7">
                        <c:v>0.95699999999999996</c:v>
                      </c:pt>
                      <c:pt idx="8">
                        <c:v>0.95799999999999996</c:v>
                      </c:pt>
                      <c:pt idx="9">
                        <c:v>0.95799999999999996</c:v>
                      </c:pt>
                    </c:numCache>
                  </c:numRef>
                </c:val>
                <c:smooth val="0"/>
                <c:extLst xmlns:c15="http://schemas.microsoft.com/office/drawing/2012/chart">
                  <c:ext xmlns:c16="http://schemas.microsoft.com/office/drawing/2014/chart" uri="{C3380CC4-5D6E-409C-BE32-E72D297353CC}">
                    <c16:uniqueId val="{0000000F-F6DF-4DBB-8E2D-B75474018701}"/>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'Data warehouse'!$C$779</c15:sqref>
                        </c15:formulaRef>
                      </c:ext>
                    </c:extLst>
                    <c:strCache>
                      <c:ptCount val="1"/>
                      <c:pt idx="0">
                        <c:v> HDU</c:v>
                      </c:pt>
                    </c:strCache>
                  </c:strRef>
                </c:tx>
                <c:spPr>
                  <a:ln w="28575" cap="rnd">
                    <a:solidFill>
                      <a:schemeClr val="accent2">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warehouse'!$F$770:$O$770</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warehouse'!$F$779:$O$779</c15:sqref>
                        </c15:formulaRef>
                      </c:ext>
                    </c:extLst>
                    <c:numCache>
                      <c:formatCode>0%</c:formatCode>
                      <c:ptCount val="10"/>
                      <c:pt idx="0">
                        <c:v>0.94736842105263153</c:v>
                      </c:pt>
                      <c:pt idx="1">
                        <c:v>1</c:v>
                      </c:pt>
                      <c:pt idx="2">
                        <c:v>1</c:v>
                      </c:pt>
                      <c:pt idx="3">
                        <c:v>1</c:v>
                      </c:pt>
                      <c:pt idx="4">
                        <c:v>1</c:v>
                      </c:pt>
                      <c:pt idx="5">
                        <c:v>1</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10-F6DF-4DBB-8E2D-B75474018701}"/>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'Data warehouse'!$C$780</c15:sqref>
                        </c15:formulaRef>
                      </c:ext>
                    </c:extLst>
                    <c:strCache>
                      <c:ptCount val="1"/>
                      <c:pt idx="0">
                        <c:v> Kenyon Ward</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warehouse'!$F$770:$O$770</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warehouse'!$F$780:$O$780</c15:sqref>
                        </c15:formulaRef>
                      </c:ext>
                    </c:extLst>
                    <c:numCache>
                      <c:formatCode>0%</c:formatCode>
                      <c:ptCount val="10"/>
                      <c:pt idx="0">
                        <c:v>0.95454545454545459</c:v>
                      </c:pt>
                      <c:pt idx="1">
                        <c:v>0.96153846153846156</c:v>
                      </c:pt>
                      <c:pt idx="2">
                        <c:v>0.96153846153846156</c:v>
                      </c:pt>
                      <c:pt idx="3">
                        <c:v>1</c:v>
                      </c:pt>
                      <c:pt idx="4">
                        <c:v>0.96296296296296291</c:v>
                      </c:pt>
                      <c:pt idx="5">
                        <c:v>1</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11-F6DF-4DBB-8E2D-B75474018701}"/>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'Data warehouse'!$C$781</c15:sqref>
                        </c15:formulaRef>
                      </c:ext>
                    </c:extLst>
                    <c:strCache>
                      <c:ptCount val="1"/>
                      <c:pt idx="0">
                        <c:v> Ludlow Ward</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warehouse'!$F$770:$O$770</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warehouse'!$F$781:$O$781</c15:sqref>
                        </c15:formulaRef>
                      </c:ext>
                    </c:extLst>
                    <c:numCache>
                      <c:formatCode>0%</c:formatCode>
                      <c:ptCount val="10"/>
                      <c:pt idx="0">
                        <c:v>0.88</c:v>
                      </c:pt>
                      <c:pt idx="1">
                        <c:v>0.95833333333333337</c:v>
                      </c:pt>
                      <c:pt idx="2">
                        <c:v>0.95833333333333337</c:v>
                      </c:pt>
                      <c:pt idx="3">
                        <c:v>1</c:v>
                      </c:pt>
                      <c:pt idx="4">
                        <c:v>1</c:v>
                      </c:pt>
                      <c:pt idx="5">
                        <c:v>1</c:v>
                      </c:pt>
                      <c:pt idx="6">
                        <c:v>1</c:v>
                      </c:pt>
                      <c:pt idx="7">
                        <c:v>1</c:v>
                      </c:pt>
                      <c:pt idx="8">
                        <c:v>0.96299999999999997</c:v>
                      </c:pt>
                      <c:pt idx="9">
                        <c:v>0.96299999999999997</c:v>
                      </c:pt>
                    </c:numCache>
                  </c:numRef>
                </c:val>
                <c:smooth val="0"/>
                <c:extLst xmlns:c15="http://schemas.microsoft.com/office/drawing/2012/chart">
                  <c:ext xmlns:c16="http://schemas.microsoft.com/office/drawing/2014/chart" uri="{C3380CC4-5D6E-409C-BE32-E72D297353CC}">
                    <c16:uniqueId val="{00000012-F6DF-4DBB-8E2D-B75474018701}"/>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'Data warehouse'!$C$782</c15:sqref>
                        </c15:formulaRef>
                      </c:ext>
                    </c:extLst>
                    <c:strCache>
                      <c:ptCount val="1"/>
                      <c:pt idx="0">
                        <c:v> Powys Ward</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warehouse'!$F$770:$O$770</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warehouse'!$F$782:$O$782</c15:sqref>
                        </c15:formulaRef>
                      </c:ext>
                    </c:extLst>
                    <c:numCache>
                      <c:formatCode>0%</c:formatCode>
                      <c:ptCount val="10"/>
                      <c:pt idx="0">
                        <c:v>1</c:v>
                      </c:pt>
                      <c:pt idx="1">
                        <c:v>1</c:v>
                      </c:pt>
                      <c:pt idx="2">
                        <c:v>1</c:v>
                      </c:pt>
                      <c:pt idx="3">
                        <c:v>1</c:v>
                      </c:pt>
                      <c:pt idx="4">
                        <c:v>0.7857142857142857</c:v>
                      </c:pt>
                      <c:pt idx="5">
                        <c:v>0.96</c:v>
                      </c:pt>
                      <c:pt idx="6">
                        <c:v>1</c:v>
                      </c:pt>
                      <c:pt idx="7">
                        <c:v>1</c:v>
                      </c:pt>
                      <c:pt idx="8">
                        <c:v>0.96</c:v>
                      </c:pt>
                      <c:pt idx="9">
                        <c:v>0.96</c:v>
                      </c:pt>
                    </c:numCache>
                  </c:numRef>
                </c:val>
                <c:smooth val="0"/>
                <c:extLst xmlns:c15="http://schemas.microsoft.com/office/drawing/2012/chart">
                  <c:ext xmlns:c16="http://schemas.microsoft.com/office/drawing/2014/chart" uri="{C3380CC4-5D6E-409C-BE32-E72D297353CC}">
                    <c16:uniqueId val="{00000013-F6DF-4DBB-8E2D-B75474018701}"/>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'Data warehouse'!$C$784</c15:sqref>
                        </c15:formulaRef>
                      </c:ext>
                    </c:extLst>
                    <c:strCache>
                      <c:ptCount val="1"/>
                      <c:pt idx="0">
                        <c:v> Recovery</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warehouse'!$F$770:$O$770</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warehouse'!$F$784:$O$784</c15:sqref>
                        </c15:formulaRef>
                      </c:ext>
                    </c:extLst>
                    <c:numCache>
                      <c:formatCode>0%</c:formatCode>
                      <c:ptCount val="10"/>
                      <c:pt idx="0">
                        <c:v>0.84615384615384615</c:v>
                      </c:pt>
                      <c:pt idx="1">
                        <c:v>1</c:v>
                      </c:pt>
                      <c:pt idx="2">
                        <c:v>1</c:v>
                      </c:pt>
                      <c:pt idx="3">
                        <c:v>1</c:v>
                      </c:pt>
                      <c:pt idx="4">
                        <c:v>0.95833333333333337</c:v>
                      </c:pt>
                      <c:pt idx="5">
                        <c:v>0.96599999999999997</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14-F6DF-4DBB-8E2D-B75474018701}"/>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'Data warehouse'!$C$785</c15:sqref>
                        </c15:formulaRef>
                      </c:ext>
                    </c:extLst>
                    <c:strCache>
                      <c:ptCount val="1"/>
                      <c:pt idx="0">
                        <c:v> Theatres and Anaesthetics</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warehouse'!$F$770:$O$770</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warehouse'!$F$785:$O$785</c15:sqref>
                        </c15:formulaRef>
                      </c:ext>
                    </c:extLst>
                    <c:numCache>
                      <c:formatCode>0%</c:formatCode>
                      <c:ptCount val="10"/>
                      <c:pt idx="0">
                        <c:v>1</c:v>
                      </c:pt>
                      <c:pt idx="1">
                        <c:v>1</c:v>
                      </c:pt>
                      <c:pt idx="2">
                        <c:v>1</c:v>
                      </c:pt>
                      <c:pt idx="3">
                        <c:v>1</c:v>
                      </c:pt>
                      <c:pt idx="4">
                        <c:v>0.94594594594594594</c:v>
                      </c:pt>
                      <c:pt idx="5">
                        <c:v>1</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15-F6DF-4DBB-8E2D-B75474018701}"/>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'Data warehouse'!$C$786</c15:sqref>
                        </c15:formulaRef>
                      </c:ext>
                    </c:extLst>
                    <c:strCache>
                      <c:ptCount val="1"/>
                      <c:pt idx="0">
                        <c:v> TSSU</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warehouse'!$F$770:$O$770</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warehouse'!$F$786:$O$786</c15:sqref>
                        </c15:formulaRef>
                      </c:ext>
                    </c:extLst>
                    <c:numCache>
                      <c:formatCode>0%</c:formatCode>
                      <c:ptCount val="10"/>
                      <c:pt idx="0">
                        <c:v>0.65217391304347827</c:v>
                      </c:pt>
                      <c:pt idx="1">
                        <c:v>0.73913043478260865</c:v>
                      </c:pt>
                      <c:pt idx="2">
                        <c:v>0.78260869565217395</c:v>
                      </c:pt>
                      <c:pt idx="3">
                        <c:v>0.81818181818181823</c:v>
                      </c:pt>
                      <c:pt idx="4">
                        <c:v>1</c:v>
                      </c:pt>
                      <c:pt idx="5">
                        <c:v>0.90900000000000003</c:v>
                      </c:pt>
                      <c:pt idx="6">
                        <c:v>0.9</c:v>
                      </c:pt>
                      <c:pt idx="7">
                        <c:v>0.94699999999999995</c:v>
                      </c:pt>
                      <c:pt idx="8">
                        <c:v>0.90900000000000003</c:v>
                      </c:pt>
                      <c:pt idx="9">
                        <c:v>0.90900000000000003</c:v>
                      </c:pt>
                    </c:numCache>
                  </c:numRef>
                </c:val>
                <c:smooth val="0"/>
                <c:extLst xmlns:c15="http://schemas.microsoft.com/office/drawing/2012/chart">
                  <c:ext xmlns:c16="http://schemas.microsoft.com/office/drawing/2014/chart" uri="{C3380CC4-5D6E-409C-BE32-E72D297353CC}">
                    <c16:uniqueId val="{00000016-F6DF-4DBB-8E2D-B75474018701}"/>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'Data warehouse'!$C$787</c15:sqref>
                        </c15:formulaRef>
                      </c:ext>
                    </c:extLst>
                    <c:strCache>
                      <c:ptCount val="1"/>
                      <c:pt idx="0">
                        <c:v> Alice Ward</c:v>
                      </c:pt>
                    </c:strCache>
                  </c:strRef>
                </c:tx>
                <c:spPr>
                  <a:ln w="28575" cap="rnd">
                    <a:solidFill>
                      <a:schemeClr val="accent3">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warehouse'!$F$770:$O$770</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warehouse'!$F$787:$O$787</c15:sqref>
                        </c15:formulaRef>
                      </c:ext>
                    </c:extLst>
                    <c:numCache>
                      <c:formatCode>0%</c:formatCode>
                      <c:ptCount val="10"/>
                      <c:pt idx="0">
                        <c:v>0.96153846153846156</c:v>
                      </c:pt>
                      <c:pt idx="1">
                        <c:v>1</c:v>
                      </c:pt>
                      <c:pt idx="2">
                        <c:v>1</c:v>
                      </c:pt>
                      <c:pt idx="3">
                        <c:v>1</c:v>
                      </c:pt>
                      <c:pt idx="4">
                        <c:v>0.9375</c:v>
                      </c:pt>
                      <c:pt idx="5">
                        <c:v>1</c:v>
                      </c:pt>
                      <c:pt idx="6">
                        <c:v>1</c:v>
                      </c:pt>
                      <c:pt idx="7">
                        <c:v>0.96599999999999997</c:v>
                      </c:pt>
                      <c:pt idx="8">
                        <c:v>1</c:v>
                      </c:pt>
                      <c:pt idx="9">
                        <c:v>1</c:v>
                      </c:pt>
                    </c:numCache>
                  </c:numRef>
                </c:val>
                <c:smooth val="0"/>
                <c:extLst xmlns:c15="http://schemas.microsoft.com/office/drawing/2012/chart">
                  <c:ext xmlns:c16="http://schemas.microsoft.com/office/drawing/2014/chart" uri="{C3380CC4-5D6E-409C-BE32-E72D297353CC}">
                    <c16:uniqueId val="{00000017-F6DF-4DBB-8E2D-B75474018701}"/>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'Data warehouse'!$C$788</c15:sqref>
                        </c15:formulaRef>
                      </c:ext>
                    </c:extLst>
                    <c:strCache>
                      <c:ptCount val="1"/>
                      <c:pt idx="0">
                        <c:v> Gladstone Ward</c:v>
                      </c:pt>
                    </c:strCache>
                  </c:strRef>
                </c:tx>
                <c:spPr>
                  <a:ln w="28575" cap="rnd">
                    <a:solidFill>
                      <a:schemeClr val="accent4">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warehouse'!$F$770:$O$770</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warehouse'!$F$788:$O$788</c15:sqref>
                        </c15:formulaRef>
                      </c:ext>
                    </c:extLst>
                    <c:numCache>
                      <c:formatCode>0%</c:formatCode>
                      <c:ptCount val="10"/>
                      <c:pt idx="0">
                        <c:v>0.85365853658536583</c:v>
                      </c:pt>
                      <c:pt idx="1">
                        <c:v>0.95121951219512191</c:v>
                      </c:pt>
                      <c:pt idx="2">
                        <c:v>0.95</c:v>
                      </c:pt>
                      <c:pt idx="3">
                        <c:v>0.94871794871794868</c:v>
                      </c:pt>
                      <c:pt idx="4">
                        <c:v>0.9375</c:v>
                      </c:pt>
                      <c:pt idx="5">
                        <c:v>0.97399999999999998</c:v>
                      </c:pt>
                      <c:pt idx="6">
                        <c:v>0.90900000000000003</c:v>
                      </c:pt>
                      <c:pt idx="7">
                        <c:v>0.94599999999999995</c:v>
                      </c:pt>
                      <c:pt idx="8">
                        <c:v>0.92500000000000004</c:v>
                      </c:pt>
                      <c:pt idx="9">
                        <c:v>0.92500000000000004</c:v>
                      </c:pt>
                    </c:numCache>
                  </c:numRef>
                </c:val>
                <c:smooth val="0"/>
                <c:extLst xmlns:c15="http://schemas.microsoft.com/office/drawing/2012/chart">
                  <c:ext xmlns:c16="http://schemas.microsoft.com/office/drawing/2014/chart" uri="{C3380CC4-5D6E-409C-BE32-E72D297353CC}">
                    <c16:uniqueId val="{00000018-F6DF-4DBB-8E2D-B75474018701}"/>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'Data warehouse'!$C$789</c15:sqref>
                        </c15:formulaRef>
                      </c:ext>
                    </c:extLst>
                    <c:strCache>
                      <c:ptCount val="1"/>
                      <c:pt idx="0">
                        <c:v> Montgomery</c:v>
                      </c:pt>
                    </c:strCache>
                  </c:strRef>
                </c:tx>
                <c:spPr>
                  <a:ln w="28575" cap="rnd">
                    <a:solidFill>
                      <a:schemeClr val="accent5">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warehouse'!$F$770:$O$770</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warehouse'!$F$789:$O$789</c15:sqref>
                        </c15:formulaRef>
                      </c:ext>
                    </c:extLst>
                    <c:numCache>
                      <c:formatCode>0%</c:formatCode>
                      <c:ptCount val="10"/>
                      <c:pt idx="0">
                        <c:v>1</c:v>
                      </c:pt>
                      <c:pt idx="1">
                        <c:v>1</c:v>
                      </c:pt>
                      <c:pt idx="2">
                        <c:v>1</c:v>
                      </c:pt>
                      <c:pt idx="3">
                        <c:v>1</c:v>
                      </c:pt>
                      <c:pt idx="4">
                        <c:v>1</c:v>
                      </c:pt>
                      <c:pt idx="5">
                        <c:v>1</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19-F6DF-4DBB-8E2D-B75474018701}"/>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'Data warehouse'!$C$790</c15:sqref>
                        </c15:formulaRef>
                      </c:ext>
                    </c:extLst>
                    <c:strCache>
                      <c:ptCount val="1"/>
                      <c:pt idx="0">
                        <c:v> ORLAU</c:v>
                      </c:pt>
                    </c:strCache>
                  </c:strRef>
                </c:tx>
                <c:spPr>
                  <a:ln w="28575" cap="rnd">
                    <a:solidFill>
                      <a:schemeClr val="accent6">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warehouse'!$F$770:$O$770</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warehouse'!$F$790:$O$790</c15:sqref>
                        </c15:formulaRef>
                      </c:ext>
                    </c:extLst>
                    <c:numCache>
                      <c:formatCode>0%</c:formatCode>
                      <c:ptCount val="10"/>
                      <c:pt idx="0">
                        <c:v>0.46666666666666667</c:v>
                      </c:pt>
                      <c:pt idx="1">
                        <c:v>0.875</c:v>
                      </c:pt>
                      <c:pt idx="2">
                        <c:v>0.875</c:v>
                      </c:pt>
                      <c:pt idx="3">
                        <c:v>0.9375</c:v>
                      </c:pt>
                      <c:pt idx="4">
                        <c:v>0.96</c:v>
                      </c:pt>
                      <c:pt idx="5">
                        <c:v>0.93799999999999994</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1A-F6DF-4DBB-8E2D-B75474018701}"/>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'Data warehouse'!$C$791</c15:sqref>
                        </c15:formulaRef>
                      </c:ext>
                    </c:extLst>
                    <c:strCache>
                      <c:ptCount val="1"/>
                      <c:pt idx="0">
                        <c:v> Oswald Ward</c:v>
                      </c:pt>
                    </c:strCache>
                  </c:strRef>
                </c:tx>
                <c:spPr>
                  <a:ln w="28575" cap="rnd">
                    <a:solidFill>
                      <a:schemeClr val="accent1">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warehouse'!$F$770:$O$770</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warehouse'!$F$791:$O$791</c15:sqref>
                        </c15:formulaRef>
                      </c:ext>
                    </c:extLst>
                    <c:numCache>
                      <c:formatCode>0%</c:formatCode>
                      <c:ptCount val="10"/>
                      <c:pt idx="0">
                        <c:v>0.94444444444444442</c:v>
                      </c:pt>
                      <c:pt idx="1">
                        <c:v>1</c:v>
                      </c:pt>
                      <c:pt idx="2">
                        <c:v>1</c:v>
                      </c:pt>
                      <c:pt idx="3">
                        <c:v>1</c:v>
                      </c:pt>
                      <c:pt idx="4">
                        <c:v>0.92307692307692313</c:v>
                      </c:pt>
                      <c:pt idx="5">
                        <c:v>1</c:v>
                      </c:pt>
                      <c:pt idx="6">
                        <c:v>1</c:v>
                      </c:pt>
                      <c:pt idx="7">
                        <c:v>1</c:v>
                      </c:pt>
                      <c:pt idx="8">
                        <c:v>1</c:v>
                      </c:pt>
                      <c:pt idx="9">
                        <c:v>1</c:v>
                      </c:pt>
                    </c:numCache>
                  </c:numRef>
                </c:val>
                <c:smooth val="0"/>
                <c:extLst xmlns:c15="http://schemas.microsoft.com/office/drawing/2012/chart">
                  <c:ext xmlns:c16="http://schemas.microsoft.com/office/drawing/2014/chart" uri="{C3380CC4-5D6E-409C-BE32-E72D297353CC}">
                    <c16:uniqueId val="{0000001B-F6DF-4DBB-8E2D-B75474018701}"/>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'Data warehouse'!$C$792</c15:sqref>
                        </c15:formulaRef>
                      </c:ext>
                    </c:extLst>
                    <c:strCache>
                      <c:ptCount val="1"/>
                      <c:pt idx="0">
                        <c:v> Sheldon Ward</c:v>
                      </c:pt>
                    </c:strCache>
                  </c:strRef>
                </c:tx>
                <c:spPr>
                  <a:ln w="28575" cap="rnd">
                    <a:solidFill>
                      <a:schemeClr val="accent2">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warehouse'!$F$770:$O$770</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warehouse'!$F$792:$O$792</c15:sqref>
                        </c15:formulaRef>
                      </c:ext>
                    </c:extLst>
                    <c:numCache>
                      <c:formatCode>0%</c:formatCode>
                      <c:ptCount val="10"/>
                      <c:pt idx="0">
                        <c:v>0.78125</c:v>
                      </c:pt>
                      <c:pt idx="1">
                        <c:v>0.90625</c:v>
                      </c:pt>
                      <c:pt idx="2">
                        <c:v>0.9375</c:v>
                      </c:pt>
                      <c:pt idx="3">
                        <c:v>0.96875</c:v>
                      </c:pt>
                      <c:pt idx="4">
                        <c:v>1</c:v>
                      </c:pt>
                      <c:pt idx="5">
                        <c:v>1</c:v>
                      </c:pt>
                      <c:pt idx="6">
                        <c:v>1</c:v>
                      </c:pt>
                      <c:pt idx="7">
                        <c:v>0.96899999999999997</c:v>
                      </c:pt>
                      <c:pt idx="8">
                        <c:v>0.86099999999999999</c:v>
                      </c:pt>
                      <c:pt idx="9">
                        <c:v>0.86099999999999999</c:v>
                      </c:pt>
                    </c:numCache>
                  </c:numRef>
                </c:val>
                <c:smooth val="0"/>
                <c:extLst xmlns:c15="http://schemas.microsoft.com/office/drawing/2012/chart">
                  <c:ext xmlns:c16="http://schemas.microsoft.com/office/drawing/2014/chart" uri="{C3380CC4-5D6E-409C-BE32-E72D297353CC}">
                    <c16:uniqueId val="{0000001C-F6DF-4DBB-8E2D-B75474018701}"/>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'Data warehouse'!$C$793</c15:sqref>
                        </c15:formulaRef>
                      </c:ext>
                    </c:extLst>
                    <c:strCache>
                      <c:ptCount val="1"/>
                      <c:pt idx="0">
                        <c:v> Wrekin Ward</c:v>
                      </c:pt>
                    </c:strCache>
                  </c:strRef>
                </c:tx>
                <c:spPr>
                  <a:ln w="28575" cap="rnd">
                    <a:solidFill>
                      <a:schemeClr val="accent3">
                        <a:lumMod val="8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2400" b="0" i="0" u="none" strike="noStrike" kern="1200" baseline="0">
                          <a:solidFill>
                            <a:schemeClr val="bg1"/>
                          </a:solidFill>
                          <a:latin typeface="Arial Nova"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'Data warehouse'!$F$770:$O$770</c15:sqref>
                        </c15:formulaRef>
                      </c:ext>
                    </c:extLst>
                    <c:strCache>
                      <c:ptCount val="10"/>
                      <c:pt idx="0">
                        <c:v>Jun-22</c:v>
                      </c:pt>
                      <c:pt idx="1">
                        <c:v>Jul-22</c:v>
                      </c:pt>
                      <c:pt idx="2">
                        <c:v>Aug-22</c:v>
                      </c:pt>
                      <c:pt idx="3">
                        <c:v>Sep-22</c:v>
                      </c:pt>
                      <c:pt idx="4">
                        <c:v>Oct-22</c:v>
                      </c:pt>
                      <c:pt idx="5">
                        <c:v>Nov-22</c:v>
                      </c:pt>
                      <c:pt idx="6">
                        <c:v>Dec-22</c:v>
                      </c:pt>
                      <c:pt idx="7">
                        <c:v>Jan-23</c:v>
                      </c:pt>
                      <c:pt idx="8">
                        <c:v>Feb-23</c:v>
                      </c:pt>
                      <c:pt idx="9">
                        <c:v>Mar-23</c:v>
                      </c:pt>
                    </c:strCache>
                  </c:strRef>
                </c:cat>
                <c:val>
                  <c:numRef>
                    <c:extLst xmlns:c15="http://schemas.microsoft.com/office/drawing/2012/chart">
                      <c:ext xmlns:c15="http://schemas.microsoft.com/office/drawing/2012/chart" uri="{02D57815-91ED-43cb-92C2-25804820EDAC}">
                        <c15:formulaRef>
                          <c15:sqref>'Data warehouse'!$F$793:$O$793</c15:sqref>
                        </c15:formulaRef>
                      </c:ext>
                    </c:extLst>
                    <c:numCache>
                      <c:formatCode>0%</c:formatCode>
                      <c:ptCount val="10"/>
                      <c:pt idx="0">
                        <c:v>0.92592592592592593</c:v>
                      </c:pt>
                      <c:pt idx="1">
                        <c:v>0.9642857142857143</c:v>
                      </c:pt>
                      <c:pt idx="2">
                        <c:v>0.96296296296296291</c:v>
                      </c:pt>
                      <c:pt idx="3">
                        <c:v>0.93103448275862066</c:v>
                      </c:pt>
                      <c:pt idx="4">
                        <c:v>0.89655172413793105</c:v>
                      </c:pt>
                      <c:pt idx="5">
                        <c:v>0.96399999999999997</c:v>
                      </c:pt>
                      <c:pt idx="6">
                        <c:v>0.96199999999999997</c:v>
                      </c:pt>
                      <c:pt idx="7">
                        <c:v>0.96299999999999997</c:v>
                      </c:pt>
                      <c:pt idx="8">
                        <c:v>0.96399999999999997</c:v>
                      </c:pt>
                      <c:pt idx="9">
                        <c:v>0.96399999999999997</c:v>
                      </c:pt>
                    </c:numCache>
                  </c:numRef>
                </c:val>
                <c:smooth val="0"/>
                <c:extLst xmlns:c15="http://schemas.microsoft.com/office/drawing/2012/chart">
                  <c:ext xmlns:c16="http://schemas.microsoft.com/office/drawing/2014/chart" uri="{C3380CC4-5D6E-409C-BE32-E72D297353CC}">
                    <c16:uniqueId val="{0000001D-F6DF-4DBB-8E2D-B75474018701}"/>
                  </c:ext>
                </c:extLst>
              </c15:ser>
            </c15:filteredLineSeries>
          </c:ext>
        </c:extLst>
      </c:lineChart>
      <c:catAx>
        <c:axId val="538082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538075440"/>
        <c:crosses val="autoZero"/>
        <c:auto val="1"/>
        <c:lblAlgn val="ctr"/>
        <c:lblOffset val="100"/>
        <c:noMultiLvlLbl val="0"/>
      </c:catAx>
      <c:valAx>
        <c:axId val="538075440"/>
        <c:scaling>
          <c:orientation val="minMax"/>
          <c:max val="1"/>
          <c:min val="0.70000000000000007"/>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538082928"/>
        <c:crosses val="autoZero"/>
        <c:crossBetween val="between"/>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0.11388</cdr:x>
      <cdr:y>0.30041</cdr:y>
    </cdr:from>
    <cdr:to>
      <cdr:x>0.99064</cdr:x>
      <cdr:y>0.30251</cdr:y>
    </cdr:to>
    <cdr:cxnSp macro="">
      <cdr:nvCxnSpPr>
        <cdr:cNvPr id="3" name="Straight Connector 2"/>
        <cdr:cNvCxnSpPr/>
      </cdr:nvCxnSpPr>
      <cdr:spPr>
        <a:xfrm xmlns:a="http://schemas.openxmlformats.org/drawingml/2006/main">
          <a:off x="674540" y="716503"/>
          <a:ext cx="5193295" cy="5009"/>
        </a:xfrm>
        <a:prstGeom xmlns:a="http://schemas.openxmlformats.org/drawingml/2006/main" prst="line">
          <a:avLst/>
        </a:prstGeom>
        <a:ln xmlns:a="http://schemas.openxmlformats.org/drawingml/2006/main" w="28575">
          <a:solidFill>
            <a:schemeClr val="accent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84CCD-00BA-43C2-A050-1959C2ADED84}">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34</Pages>
  <Words>10982</Words>
  <Characters>62600</Characters>
  <Application>Microsoft Office Word</Application>
  <DocSecurity>4</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Royal Surrey County Hospital NHS Foundation Trust</Company>
  <LinksUpToDate>false</LinksUpToDate>
  <CharactersWithSpaces>73436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Ramtuhul</dc:creator>
  <cp:keywords/>
  <cp:lastModifiedBy>GINGELL, Hayley (THE ROBERT JONES AND AGNES HUNT ORTHOPAEDIC HOSPITAL NHS FOUNDATION TRUST)</cp:lastModifiedBy>
  <cp:revision>2</cp:revision>
  <cp:lastPrinted>2023-07-18T16:08:00Z</cp:lastPrinted>
  <dcterms:created xsi:type="dcterms:W3CDTF">2023-08-03T15:32:00Z</dcterms:created>
  <dcterms:modified xsi:type="dcterms:W3CDTF">2023-08-03T15:32:00Z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