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4" w:type="dxa"/>
        <w:tblInd w:w="-5" w:type="dxa"/>
        <w:tblLook w:val="04A0" w:firstRow="1" w:lastRow="0" w:firstColumn="1" w:lastColumn="0" w:noHBand="0" w:noVBand="1"/>
      </w:tblPr>
      <w:tblGrid>
        <w:gridCol w:w="4592"/>
        <w:gridCol w:w="4592"/>
      </w:tblGrid>
      <w:tr w:rsidR="00B95CDD" w:rsidRPr="00A24F60" w14:paraId="2A813C94" w14:textId="77777777" w:rsidTr="00B95CDD">
        <w:trPr>
          <w:trHeight w:val="348"/>
        </w:trPr>
        <w:tc>
          <w:tcPr>
            <w:tcW w:w="9184" w:type="dxa"/>
            <w:gridSpan w:val="2"/>
            <w:tcBorders>
              <w:bottom w:val="single" w:sz="4" w:space="0" w:color="auto"/>
            </w:tcBorders>
            <w:shd w:val="clear" w:color="auto" w:fill="auto"/>
            <w:vAlign w:val="center"/>
          </w:tcPr>
          <w:p w14:paraId="5FC1D7D0" w14:textId="38D4B3E5" w:rsidR="00242D33" w:rsidRPr="00A24F60" w:rsidRDefault="00A24F60" w:rsidP="00C9011E">
            <w:pPr>
              <w:pStyle w:val="Table-text"/>
              <w:rPr>
                <w:rFonts w:cs="Arial"/>
                <w:b/>
                <w:bCs/>
                <w:szCs w:val="20"/>
              </w:rPr>
            </w:pPr>
            <w:r w:rsidRPr="00A24F60">
              <w:rPr>
                <w:rFonts w:cs="Arial"/>
                <w:b/>
                <w:bCs/>
                <w:szCs w:val="20"/>
              </w:rPr>
              <w:t>Committee, Date:</w:t>
            </w:r>
          </w:p>
        </w:tc>
      </w:tr>
      <w:tr w:rsidR="00242D33" w:rsidRPr="00A24F60" w14:paraId="5927ED65" w14:textId="77777777" w:rsidTr="00CD1147">
        <w:trPr>
          <w:trHeight w:val="409"/>
        </w:trPr>
        <w:tc>
          <w:tcPr>
            <w:tcW w:w="9184" w:type="dxa"/>
            <w:gridSpan w:val="2"/>
            <w:tcBorders>
              <w:top w:val="single" w:sz="4" w:space="0" w:color="auto"/>
            </w:tcBorders>
            <w:shd w:val="clear" w:color="auto" w:fill="auto"/>
            <w:vAlign w:val="center"/>
          </w:tcPr>
          <w:p w14:paraId="29CB99E9" w14:textId="0ECEB091" w:rsidR="00A24F60" w:rsidRPr="00A24F60" w:rsidRDefault="00A24F60" w:rsidP="00A24F60">
            <w:pPr>
              <w:jc w:val="both"/>
              <w:rPr>
                <w:rFonts w:cs="Arial"/>
                <w:iCs/>
                <w:sz w:val="20"/>
                <w:szCs w:val="20"/>
              </w:rPr>
            </w:pPr>
            <w:r w:rsidRPr="00A24F60">
              <w:rPr>
                <w:rFonts w:cs="Arial"/>
                <w:iCs/>
                <w:sz w:val="20"/>
                <w:szCs w:val="20"/>
              </w:rPr>
              <w:t>People and Culture Committee, 2</w:t>
            </w:r>
            <w:r w:rsidR="00E53D4B">
              <w:rPr>
                <w:rFonts w:cs="Arial"/>
                <w:iCs/>
                <w:sz w:val="20"/>
                <w:szCs w:val="20"/>
              </w:rPr>
              <w:t>1</w:t>
            </w:r>
            <w:r w:rsidR="00E53D4B" w:rsidRPr="00E53D4B">
              <w:rPr>
                <w:rFonts w:cs="Arial"/>
                <w:iCs/>
                <w:sz w:val="20"/>
                <w:szCs w:val="20"/>
                <w:vertAlign w:val="superscript"/>
              </w:rPr>
              <w:t>st</w:t>
            </w:r>
            <w:r w:rsidR="00E53D4B">
              <w:rPr>
                <w:rFonts w:cs="Arial"/>
                <w:iCs/>
                <w:sz w:val="20"/>
                <w:szCs w:val="20"/>
              </w:rPr>
              <w:t xml:space="preserve"> September</w:t>
            </w:r>
            <w:r w:rsidRPr="00A24F60">
              <w:rPr>
                <w:rFonts w:cs="Arial"/>
                <w:iCs/>
                <w:sz w:val="20"/>
                <w:szCs w:val="20"/>
              </w:rPr>
              <w:t xml:space="preserve"> 2023</w:t>
            </w:r>
          </w:p>
          <w:p w14:paraId="6BACA44C" w14:textId="1A46606C" w:rsidR="004A6D29" w:rsidRPr="00A24F60" w:rsidRDefault="004A6D29" w:rsidP="00C9011E">
            <w:pPr>
              <w:pStyle w:val="Table-text"/>
              <w:rPr>
                <w:rFonts w:cs="Arial"/>
                <w:iCs/>
                <w:szCs w:val="20"/>
              </w:rPr>
            </w:pPr>
          </w:p>
        </w:tc>
      </w:tr>
      <w:tr w:rsidR="00B95CDD" w:rsidRPr="00A24F60" w14:paraId="54E244AA" w14:textId="77777777" w:rsidTr="00CD1147">
        <w:trPr>
          <w:trHeight w:val="235"/>
        </w:trPr>
        <w:tc>
          <w:tcPr>
            <w:tcW w:w="4592" w:type="dxa"/>
            <w:tcBorders>
              <w:bottom w:val="single" w:sz="4" w:space="0" w:color="auto"/>
            </w:tcBorders>
            <w:shd w:val="clear" w:color="auto" w:fill="auto"/>
            <w:vAlign w:val="center"/>
            <w:hideMark/>
          </w:tcPr>
          <w:p w14:paraId="54E244A7" w14:textId="00E0A390" w:rsidR="00242D33" w:rsidRPr="00A24F60" w:rsidRDefault="00242D33" w:rsidP="007D4F16">
            <w:pPr>
              <w:pStyle w:val="Table-text"/>
              <w:spacing w:before="0" w:after="0"/>
              <w:rPr>
                <w:rFonts w:cs="Arial"/>
                <w:b/>
                <w:bCs/>
                <w:szCs w:val="20"/>
              </w:rPr>
            </w:pPr>
            <w:r w:rsidRPr="00A24F60">
              <w:rPr>
                <w:rFonts w:cs="Arial"/>
                <w:b/>
                <w:bCs/>
                <w:szCs w:val="20"/>
              </w:rPr>
              <w:t>Author:</w:t>
            </w:r>
          </w:p>
        </w:tc>
        <w:tc>
          <w:tcPr>
            <w:tcW w:w="4592" w:type="dxa"/>
            <w:tcBorders>
              <w:bottom w:val="single" w:sz="4" w:space="0" w:color="auto"/>
            </w:tcBorders>
            <w:shd w:val="clear" w:color="auto" w:fill="auto"/>
            <w:vAlign w:val="center"/>
            <w:hideMark/>
          </w:tcPr>
          <w:p w14:paraId="54E244A9" w14:textId="54322A8F" w:rsidR="00242D33" w:rsidRPr="00A24F60" w:rsidRDefault="00242D33" w:rsidP="007D4F16">
            <w:pPr>
              <w:pStyle w:val="Table-text"/>
              <w:rPr>
                <w:rFonts w:cs="Arial"/>
                <w:b/>
                <w:bCs/>
                <w:strike/>
                <w:szCs w:val="20"/>
              </w:rPr>
            </w:pPr>
            <w:r w:rsidRPr="00A24F60">
              <w:rPr>
                <w:rFonts w:cs="Arial"/>
                <w:b/>
                <w:bCs/>
                <w:szCs w:val="20"/>
              </w:rPr>
              <w:t>Contributors:</w:t>
            </w:r>
            <w:r w:rsidR="000B1816" w:rsidRPr="00A24F60">
              <w:rPr>
                <w:rFonts w:cs="Arial"/>
                <w:b/>
                <w:bCs/>
                <w:szCs w:val="20"/>
              </w:rPr>
              <w:t xml:space="preserve">  </w:t>
            </w:r>
          </w:p>
        </w:tc>
      </w:tr>
      <w:tr w:rsidR="00242D33" w:rsidRPr="00A24F60" w14:paraId="137E7289" w14:textId="77777777" w:rsidTr="00CD1147">
        <w:trPr>
          <w:trHeight w:val="737"/>
        </w:trPr>
        <w:tc>
          <w:tcPr>
            <w:tcW w:w="4592" w:type="dxa"/>
            <w:tcBorders>
              <w:top w:val="single" w:sz="4" w:space="0" w:color="auto"/>
            </w:tcBorders>
            <w:shd w:val="clear" w:color="auto" w:fill="FFFFFF" w:themeFill="background1"/>
            <w:vAlign w:val="center"/>
          </w:tcPr>
          <w:p w14:paraId="6C171167" w14:textId="685F40C7" w:rsidR="00A24F60" w:rsidRPr="00A24F60" w:rsidRDefault="00A24F60" w:rsidP="00A24F60">
            <w:pPr>
              <w:pStyle w:val="Table-text"/>
              <w:spacing w:before="0" w:after="0"/>
              <w:rPr>
                <w:rFonts w:cs="Arial"/>
                <w:szCs w:val="20"/>
              </w:rPr>
            </w:pPr>
            <w:r w:rsidRPr="00A24F60">
              <w:rPr>
                <w:rFonts w:cs="Arial"/>
                <w:szCs w:val="20"/>
              </w:rPr>
              <w:t xml:space="preserve">Name: Jayne Johnson </w:t>
            </w:r>
          </w:p>
          <w:p w14:paraId="4C039DD2" w14:textId="0EFBC530" w:rsidR="00A24F60" w:rsidRPr="00A24F60" w:rsidRDefault="00A24F60" w:rsidP="00A24F60">
            <w:pPr>
              <w:pStyle w:val="Table-text"/>
              <w:spacing w:before="0" w:after="0"/>
              <w:rPr>
                <w:rFonts w:cs="Arial"/>
                <w:szCs w:val="20"/>
              </w:rPr>
            </w:pPr>
            <w:r w:rsidRPr="00A24F60">
              <w:rPr>
                <w:rFonts w:cs="Arial"/>
                <w:szCs w:val="20"/>
              </w:rPr>
              <w:t xml:space="preserve">Role/Title: </w:t>
            </w:r>
            <w:r w:rsidR="00586A5C">
              <w:rPr>
                <w:rFonts w:cs="Arial"/>
                <w:szCs w:val="20"/>
              </w:rPr>
              <w:t>Nursing &amp; AHP Lead- Workforce</w:t>
            </w:r>
          </w:p>
          <w:p w14:paraId="4D4C416F" w14:textId="4DE75704" w:rsidR="00242D33" w:rsidRPr="00A24F60" w:rsidRDefault="00242D33" w:rsidP="007D4F16">
            <w:pPr>
              <w:pStyle w:val="Table-text"/>
              <w:spacing w:before="0" w:after="0"/>
              <w:rPr>
                <w:rFonts w:cs="Arial"/>
                <w:szCs w:val="20"/>
              </w:rPr>
            </w:pPr>
          </w:p>
        </w:tc>
        <w:tc>
          <w:tcPr>
            <w:tcW w:w="4592" w:type="dxa"/>
            <w:tcBorders>
              <w:top w:val="single" w:sz="4" w:space="0" w:color="auto"/>
            </w:tcBorders>
            <w:shd w:val="clear" w:color="auto" w:fill="FFFFFF" w:themeFill="background1"/>
            <w:vAlign w:val="center"/>
          </w:tcPr>
          <w:p w14:paraId="332C2157" w14:textId="77777777" w:rsidR="00A24F60" w:rsidRPr="00A24F60" w:rsidRDefault="00A24F60" w:rsidP="007D4F16">
            <w:pPr>
              <w:pStyle w:val="Table-text"/>
              <w:rPr>
                <w:rFonts w:cs="Arial"/>
                <w:szCs w:val="20"/>
              </w:rPr>
            </w:pPr>
            <w:r w:rsidRPr="00A24F60">
              <w:rPr>
                <w:rFonts w:cs="Arial"/>
                <w:szCs w:val="20"/>
              </w:rPr>
              <w:t xml:space="preserve">Tina Powell, Mary Owens, </w:t>
            </w:r>
          </w:p>
          <w:p w14:paraId="3B884B72" w14:textId="4C88B247" w:rsidR="00242D33" w:rsidRPr="00A24F60" w:rsidRDefault="00A24F60" w:rsidP="007D4F16">
            <w:pPr>
              <w:pStyle w:val="Table-text"/>
              <w:rPr>
                <w:rFonts w:cs="Arial"/>
                <w:i/>
                <w:color w:val="FF0000"/>
                <w:szCs w:val="20"/>
              </w:rPr>
            </w:pPr>
            <w:r w:rsidRPr="00A24F60">
              <w:rPr>
                <w:rFonts w:cs="Arial"/>
                <w:szCs w:val="20"/>
              </w:rPr>
              <w:t>Daniel Booth, Jen Fox</w:t>
            </w:r>
          </w:p>
          <w:p w14:paraId="53F5B06F" w14:textId="09090EC5" w:rsidR="00D57AE8" w:rsidRPr="00A24F60" w:rsidRDefault="00D57AE8" w:rsidP="007D4F16">
            <w:pPr>
              <w:pStyle w:val="Table-text"/>
              <w:rPr>
                <w:rFonts w:cs="Arial"/>
                <w:iCs/>
                <w:szCs w:val="20"/>
              </w:rPr>
            </w:pPr>
          </w:p>
        </w:tc>
      </w:tr>
      <w:tr w:rsidR="00B95CDD" w:rsidRPr="00A24F60" w14:paraId="54A076BE" w14:textId="77777777" w:rsidTr="00CD1147">
        <w:tc>
          <w:tcPr>
            <w:tcW w:w="9184" w:type="dxa"/>
            <w:gridSpan w:val="2"/>
            <w:tcBorders>
              <w:bottom w:val="single" w:sz="4" w:space="0" w:color="auto"/>
            </w:tcBorders>
            <w:shd w:val="clear" w:color="auto" w:fill="auto"/>
            <w:vAlign w:val="center"/>
          </w:tcPr>
          <w:p w14:paraId="55BD277B" w14:textId="660EA466" w:rsidR="00242D33" w:rsidRPr="00A24F60" w:rsidRDefault="00242D33" w:rsidP="00242D33">
            <w:pPr>
              <w:pStyle w:val="Table-text"/>
              <w:spacing w:before="0" w:after="0"/>
              <w:rPr>
                <w:rFonts w:cs="Arial"/>
                <w:b/>
                <w:bCs/>
                <w:szCs w:val="20"/>
              </w:rPr>
            </w:pPr>
            <w:r w:rsidRPr="00A24F60">
              <w:rPr>
                <w:rFonts w:cs="Arial"/>
                <w:b/>
                <w:bCs/>
                <w:szCs w:val="20"/>
              </w:rPr>
              <w:t>Report sign-off</w:t>
            </w:r>
            <w:r w:rsidRPr="00A24F60">
              <w:rPr>
                <w:rFonts w:cs="Arial"/>
                <w:b/>
                <w:bCs/>
                <w:iCs/>
                <w:szCs w:val="20"/>
              </w:rPr>
              <w:t>:</w:t>
            </w:r>
          </w:p>
        </w:tc>
      </w:tr>
      <w:tr w:rsidR="00242D33" w:rsidRPr="00A24F60" w14:paraId="6213CE02" w14:textId="77777777" w:rsidTr="00CD1147">
        <w:tc>
          <w:tcPr>
            <w:tcW w:w="9184" w:type="dxa"/>
            <w:gridSpan w:val="2"/>
            <w:tcBorders>
              <w:top w:val="single" w:sz="4" w:space="0" w:color="auto"/>
            </w:tcBorders>
            <w:shd w:val="clear" w:color="auto" w:fill="FFFFFF" w:themeFill="background1"/>
            <w:vAlign w:val="center"/>
          </w:tcPr>
          <w:p w14:paraId="63617961" w14:textId="77777777" w:rsidR="00A24F60" w:rsidRPr="00A24F60" w:rsidRDefault="00A24F60" w:rsidP="00A24F60">
            <w:pPr>
              <w:pStyle w:val="Table-text"/>
              <w:spacing w:before="0" w:after="0"/>
              <w:rPr>
                <w:rFonts w:cs="Arial"/>
                <w:szCs w:val="20"/>
              </w:rPr>
            </w:pPr>
            <w:r w:rsidRPr="00A24F60">
              <w:rPr>
                <w:rFonts w:cs="Arial"/>
                <w:szCs w:val="20"/>
              </w:rPr>
              <w:t xml:space="preserve">Name: Paul Kavanagh- Fields </w:t>
            </w:r>
          </w:p>
          <w:p w14:paraId="003E184A" w14:textId="670ABD79" w:rsidR="00D57AE8" w:rsidRPr="00A24F60" w:rsidRDefault="00A24F60" w:rsidP="00A24F60">
            <w:pPr>
              <w:pStyle w:val="Table-text"/>
              <w:spacing w:before="0" w:after="0"/>
              <w:rPr>
                <w:rFonts w:cs="Arial"/>
                <w:szCs w:val="20"/>
              </w:rPr>
            </w:pPr>
            <w:r w:rsidRPr="00A24F60">
              <w:rPr>
                <w:rFonts w:cs="Arial"/>
                <w:szCs w:val="20"/>
              </w:rPr>
              <w:t>Role/Title:</w:t>
            </w:r>
            <w:r w:rsidRPr="00A24F60">
              <w:rPr>
                <w:rFonts w:cs="Arial"/>
                <w:b/>
                <w:bCs/>
                <w:szCs w:val="20"/>
              </w:rPr>
              <w:t xml:space="preserve"> </w:t>
            </w:r>
            <w:r w:rsidRPr="00A24F60">
              <w:rPr>
                <w:rFonts w:cs="Arial"/>
                <w:szCs w:val="20"/>
              </w:rPr>
              <w:t>Chief Nurse and Patient Safety Officer</w:t>
            </w:r>
          </w:p>
          <w:p w14:paraId="5667AAE4" w14:textId="30852DE3" w:rsidR="007E1D8B" w:rsidRPr="00A24F60" w:rsidRDefault="007E1D8B" w:rsidP="00C9011E">
            <w:pPr>
              <w:pStyle w:val="Table-text"/>
              <w:spacing w:before="0" w:after="0"/>
              <w:rPr>
                <w:rFonts w:cs="Arial"/>
                <w:szCs w:val="20"/>
              </w:rPr>
            </w:pPr>
          </w:p>
        </w:tc>
      </w:tr>
      <w:tr w:rsidR="00CD1147" w:rsidRPr="00A24F60" w14:paraId="09F16482" w14:textId="77777777" w:rsidTr="00CD1147">
        <w:tc>
          <w:tcPr>
            <w:tcW w:w="9184" w:type="dxa"/>
            <w:gridSpan w:val="2"/>
            <w:tcBorders>
              <w:bottom w:val="single" w:sz="4" w:space="0" w:color="auto"/>
            </w:tcBorders>
            <w:shd w:val="clear" w:color="auto" w:fill="FFFFFF" w:themeFill="background1"/>
            <w:vAlign w:val="center"/>
          </w:tcPr>
          <w:p w14:paraId="1991D051" w14:textId="7207F015" w:rsidR="00CD1147" w:rsidRPr="00A24F60" w:rsidRDefault="00CD1147" w:rsidP="00C9011E">
            <w:pPr>
              <w:pStyle w:val="Table-text"/>
              <w:spacing w:before="0" w:after="0"/>
              <w:rPr>
                <w:rFonts w:cs="Arial"/>
                <w:b/>
                <w:bCs/>
                <w:iCs/>
                <w:szCs w:val="20"/>
              </w:rPr>
            </w:pPr>
            <w:r w:rsidRPr="00A24F60">
              <w:rPr>
                <w:rFonts w:cs="Arial"/>
                <w:b/>
                <w:bCs/>
                <w:iCs/>
                <w:szCs w:val="20"/>
              </w:rPr>
              <w:t xml:space="preserve">Is the report suitable for </w:t>
            </w:r>
            <w:proofErr w:type="gramStart"/>
            <w:r w:rsidRPr="00A24F60">
              <w:rPr>
                <w:rFonts w:cs="Arial"/>
                <w:b/>
                <w:bCs/>
                <w:iCs/>
                <w:szCs w:val="20"/>
              </w:rPr>
              <w:t>publication?:</w:t>
            </w:r>
            <w:proofErr w:type="gramEnd"/>
          </w:p>
        </w:tc>
      </w:tr>
      <w:tr w:rsidR="00CD1147" w:rsidRPr="00A24F60" w14:paraId="1FD517BF" w14:textId="77777777" w:rsidTr="00CD1147">
        <w:tc>
          <w:tcPr>
            <w:tcW w:w="9184" w:type="dxa"/>
            <w:gridSpan w:val="2"/>
            <w:tcBorders>
              <w:top w:val="single" w:sz="4" w:space="0" w:color="auto"/>
            </w:tcBorders>
            <w:shd w:val="clear" w:color="auto" w:fill="FFFFFF" w:themeFill="background1"/>
            <w:vAlign w:val="center"/>
          </w:tcPr>
          <w:p w14:paraId="4DB93786" w14:textId="77777777" w:rsidR="000B1816" w:rsidRDefault="005F439A" w:rsidP="000B1816">
            <w:pPr>
              <w:pStyle w:val="Table-text"/>
              <w:spacing w:before="0" w:after="0"/>
              <w:rPr>
                <w:rFonts w:cs="Arial"/>
                <w:iCs/>
                <w:szCs w:val="20"/>
              </w:rPr>
            </w:pPr>
            <w:r w:rsidRPr="00A24F60">
              <w:rPr>
                <w:rFonts w:cs="Arial"/>
                <w:iCs/>
                <w:szCs w:val="20"/>
              </w:rPr>
              <w:t>Y</w:t>
            </w:r>
            <w:r w:rsidR="00A24F60">
              <w:rPr>
                <w:rFonts w:cs="Arial"/>
                <w:iCs/>
                <w:szCs w:val="20"/>
              </w:rPr>
              <w:t>es</w:t>
            </w:r>
          </w:p>
          <w:p w14:paraId="60B877B4" w14:textId="28A470A0" w:rsidR="00A24F60" w:rsidRPr="00A24F60" w:rsidRDefault="00A24F60" w:rsidP="000B1816">
            <w:pPr>
              <w:pStyle w:val="Table-text"/>
              <w:spacing w:before="0" w:after="0"/>
              <w:rPr>
                <w:rFonts w:cs="Arial"/>
                <w:iCs/>
                <w:szCs w:val="20"/>
              </w:rPr>
            </w:pPr>
          </w:p>
        </w:tc>
      </w:tr>
      <w:tr w:rsidR="00B95CDD" w:rsidRPr="00B95CDD" w14:paraId="3FCE9B74" w14:textId="77777777" w:rsidTr="00CD1147">
        <w:tc>
          <w:tcPr>
            <w:tcW w:w="9184" w:type="dxa"/>
            <w:gridSpan w:val="2"/>
            <w:tcBorders>
              <w:bottom w:val="single" w:sz="4" w:space="0" w:color="auto"/>
            </w:tcBorders>
            <w:shd w:val="clear" w:color="auto" w:fill="auto"/>
            <w:vAlign w:val="center"/>
          </w:tcPr>
          <w:p w14:paraId="6A404CC9" w14:textId="5AC5C248" w:rsidR="00C9011E" w:rsidRPr="00B95CDD" w:rsidRDefault="00C9011E" w:rsidP="00960475">
            <w:pPr>
              <w:pStyle w:val="Table-text"/>
              <w:spacing w:before="0" w:after="0"/>
              <w:rPr>
                <w:rFonts w:cs="Arial"/>
                <w:b/>
                <w:bCs/>
                <w:sz w:val="22"/>
              </w:rPr>
            </w:pPr>
            <w:r w:rsidRPr="00B95CDD">
              <w:rPr>
                <w:rFonts w:cs="Arial"/>
                <w:b/>
                <w:bCs/>
                <w:sz w:val="22"/>
              </w:rPr>
              <w:t xml:space="preserve">Key </w:t>
            </w:r>
            <w:r w:rsidR="00330E4F" w:rsidRPr="00B95CDD">
              <w:rPr>
                <w:rFonts w:cs="Arial"/>
                <w:b/>
                <w:bCs/>
                <w:sz w:val="22"/>
              </w:rPr>
              <w:t>i</w:t>
            </w:r>
            <w:r w:rsidRPr="00B95CDD">
              <w:rPr>
                <w:rFonts w:cs="Arial"/>
                <w:b/>
                <w:bCs/>
                <w:sz w:val="22"/>
              </w:rPr>
              <w:t>ssues and considerations</w:t>
            </w:r>
            <w:r w:rsidR="00D57AE8">
              <w:rPr>
                <w:rFonts w:cs="Arial"/>
                <w:b/>
                <w:bCs/>
                <w:sz w:val="22"/>
              </w:rPr>
              <w:t>:</w:t>
            </w:r>
          </w:p>
        </w:tc>
      </w:tr>
      <w:tr w:rsidR="00C9011E" w:rsidRPr="00C9011E" w14:paraId="119A12F1" w14:textId="77777777" w:rsidTr="00CD1147">
        <w:tc>
          <w:tcPr>
            <w:tcW w:w="9184" w:type="dxa"/>
            <w:gridSpan w:val="2"/>
            <w:tcBorders>
              <w:top w:val="single" w:sz="4" w:space="0" w:color="auto"/>
            </w:tcBorders>
            <w:shd w:val="clear" w:color="auto" w:fill="FFFFFF" w:themeFill="background1"/>
            <w:vAlign w:val="center"/>
          </w:tcPr>
          <w:p w14:paraId="617EB54D" w14:textId="70C23BC6" w:rsidR="000B1816" w:rsidRPr="000B1816" w:rsidRDefault="000B1816" w:rsidP="000B1816">
            <w:pPr>
              <w:spacing w:before="115"/>
              <w:rPr>
                <w:rFonts w:asciiTheme="minorHAnsi" w:hAnsiTheme="minorHAnsi" w:cstheme="minorHAnsi"/>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6344"/>
            </w:tblGrid>
            <w:tr w:rsidR="000B1816" w:rsidRPr="000B1816" w14:paraId="71DDC09E" w14:textId="77777777" w:rsidTr="00A57D02">
              <w:trPr>
                <w:trHeight w:val="746"/>
              </w:trPr>
              <w:tc>
                <w:tcPr>
                  <w:tcW w:w="1459" w:type="pct"/>
                </w:tcPr>
                <w:p w14:paraId="54FE23B0"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34ABF32D"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Financial</w:t>
                  </w:r>
                </w:p>
              </w:tc>
              <w:tc>
                <w:tcPr>
                  <w:tcW w:w="3541" w:type="pct"/>
                </w:tcPr>
                <w:p w14:paraId="439CCFD4" w14:textId="77777777" w:rsidR="000B1816" w:rsidRPr="000B1816" w:rsidRDefault="000B1816" w:rsidP="000B1816">
                  <w:pPr>
                    <w:widowControl w:val="0"/>
                    <w:ind w:left="108" w:right="156"/>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Robust safe staffing and recruitment processes ensure appropriate and efficient use of available resources</w:t>
                  </w:r>
                </w:p>
              </w:tc>
            </w:tr>
            <w:tr w:rsidR="000B1816" w:rsidRPr="000B1816" w14:paraId="123A40A0" w14:textId="77777777" w:rsidTr="00A57D02">
              <w:trPr>
                <w:trHeight w:val="1000"/>
              </w:trPr>
              <w:tc>
                <w:tcPr>
                  <w:tcW w:w="1459" w:type="pct"/>
                </w:tcPr>
                <w:p w14:paraId="63336DF9" w14:textId="77777777" w:rsidR="000B1816" w:rsidRPr="000B1816" w:rsidRDefault="000B1816" w:rsidP="000B1816">
                  <w:pPr>
                    <w:widowControl w:val="0"/>
                    <w:spacing w:before="1"/>
                    <w:rPr>
                      <w:rFonts w:asciiTheme="minorHAnsi" w:eastAsiaTheme="minorHAnsi" w:hAnsiTheme="minorHAnsi" w:cstheme="minorHAnsi"/>
                      <w:b/>
                      <w:sz w:val="22"/>
                      <w:lang w:val="en-US"/>
                    </w:rPr>
                  </w:pPr>
                </w:p>
                <w:p w14:paraId="470EDDF8"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Patients Safety or Quality</w:t>
                  </w:r>
                </w:p>
              </w:tc>
              <w:tc>
                <w:tcPr>
                  <w:tcW w:w="3541" w:type="pct"/>
                </w:tcPr>
                <w:p w14:paraId="20665E3E" w14:textId="77777777" w:rsidR="000B1816" w:rsidRPr="000B1816" w:rsidRDefault="000B1816" w:rsidP="000B1816">
                  <w:pPr>
                    <w:widowControl w:val="0"/>
                    <w:ind w:left="108" w:right="43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and correlation to nurse sensitive indicators provides assurance regarding patient safety events which may relate to nurse staffing</w:t>
                  </w:r>
                </w:p>
              </w:tc>
            </w:tr>
            <w:tr w:rsidR="000B1816" w:rsidRPr="000B1816" w14:paraId="4A4911CE" w14:textId="77777777" w:rsidTr="00A57D02">
              <w:trPr>
                <w:trHeight w:val="746"/>
              </w:trPr>
              <w:tc>
                <w:tcPr>
                  <w:tcW w:w="1459" w:type="pct"/>
                </w:tcPr>
                <w:p w14:paraId="5FCDF445"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7B20D31B"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Workforce</w:t>
                  </w:r>
                </w:p>
              </w:tc>
              <w:tc>
                <w:tcPr>
                  <w:tcW w:w="3541" w:type="pct"/>
                </w:tcPr>
                <w:p w14:paraId="354F9D0F" w14:textId="77777777" w:rsidR="000B1816" w:rsidRPr="000B1816" w:rsidRDefault="000B1816" w:rsidP="000B1816">
                  <w:pPr>
                    <w:widowControl w:val="0"/>
                    <w:spacing w:before="117"/>
                    <w:ind w:left="108" w:right="505"/>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Providing a positive experience for new recruits and supporting staff well-being promotes RJAH as an employer of choice</w:t>
                  </w:r>
                </w:p>
              </w:tc>
            </w:tr>
            <w:tr w:rsidR="000B1816" w:rsidRPr="000B1816" w14:paraId="5EDEDDCD" w14:textId="77777777" w:rsidTr="00A57D02">
              <w:trPr>
                <w:trHeight w:val="745"/>
              </w:trPr>
              <w:tc>
                <w:tcPr>
                  <w:tcW w:w="1459" w:type="pct"/>
                </w:tcPr>
                <w:p w14:paraId="703CDF01"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6A441B07"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Operational</w:t>
                  </w:r>
                </w:p>
              </w:tc>
              <w:tc>
                <w:tcPr>
                  <w:tcW w:w="3541" w:type="pct"/>
                </w:tcPr>
                <w:p w14:paraId="51CDCA83" w14:textId="77777777" w:rsidR="000B1816" w:rsidRPr="000B1816" w:rsidRDefault="000B1816" w:rsidP="000B1816">
                  <w:pPr>
                    <w:widowControl w:val="0"/>
                    <w:spacing w:before="117"/>
                    <w:ind w:left="108" w:right="32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processes supports operational delivery and patient flow as well as patient experience</w:t>
                  </w:r>
                </w:p>
              </w:tc>
            </w:tr>
          </w:tbl>
          <w:p w14:paraId="45CAB956" w14:textId="77777777" w:rsidR="000B1816" w:rsidRPr="000B1816" w:rsidRDefault="000B1816" w:rsidP="00C9011E">
            <w:pPr>
              <w:spacing w:before="0"/>
              <w:rPr>
                <w:rFonts w:cs="Arial"/>
                <w:bCs/>
                <w:iCs/>
                <w:sz w:val="20"/>
                <w:szCs w:val="18"/>
              </w:rPr>
            </w:pPr>
          </w:p>
          <w:p w14:paraId="300381DF" w14:textId="0D34F42F" w:rsidR="000B1816" w:rsidRPr="000B1816" w:rsidRDefault="000B1816" w:rsidP="00C9011E">
            <w:pPr>
              <w:spacing w:before="0"/>
              <w:rPr>
                <w:rFonts w:cs="Arial"/>
                <w:bCs/>
                <w:iCs/>
                <w:sz w:val="20"/>
                <w:szCs w:val="18"/>
              </w:rPr>
            </w:pPr>
          </w:p>
        </w:tc>
      </w:tr>
      <w:tr w:rsidR="00466A80" w:rsidRPr="00B95CDD" w14:paraId="5BFD2A8C" w14:textId="77777777" w:rsidTr="00CD1147">
        <w:tc>
          <w:tcPr>
            <w:tcW w:w="9184" w:type="dxa"/>
            <w:gridSpan w:val="2"/>
            <w:tcBorders>
              <w:bottom w:val="single" w:sz="4" w:space="0" w:color="auto"/>
            </w:tcBorders>
            <w:shd w:val="clear" w:color="auto" w:fill="auto"/>
            <w:vAlign w:val="center"/>
          </w:tcPr>
          <w:p w14:paraId="164E7C24" w14:textId="77777777" w:rsidR="00466A80" w:rsidRPr="00B95CDD" w:rsidRDefault="00466A80" w:rsidP="00960475">
            <w:pPr>
              <w:pStyle w:val="Table-text"/>
              <w:spacing w:before="0" w:after="0"/>
              <w:rPr>
                <w:rFonts w:cs="Arial"/>
                <w:b/>
                <w:bCs/>
                <w:sz w:val="22"/>
              </w:rPr>
            </w:pPr>
            <w:r>
              <w:rPr>
                <w:rFonts w:cs="Arial"/>
                <w:b/>
                <w:bCs/>
                <w:sz w:val="22"/>
              </w:rPr>
              <w:t>Strategic</w:t>
            </w:r>
            <w:r w:rsidRPr="00B95CDD">
              <w:rPr>
                <w:rFonts w:cs="Arial"/>
                <w:b/>
                <w:bCs/>
                <w:sz w:val="22"/>
              </w:rPr>
              <w:t xml:space="preserve"> objectives and associated risks</w:t>
            </w:r>
            <w:r>
              <w:rPr>
                <w:rFonts w:cs="Arial"/>
                <w:b/>
                <w:bCs/>
                <w:sz w:val="22"/>
              </w:rPr>
              <w:t>:</w:t>
            </w:r>
          </w:p>
        </w:tc>
      </w:tr>
      <w:tr w:rsidR="00466A80" w:rsidRPr="00996ADB" w14:paraId="7407FCFA" w14:textId="77777777" w:rsidTr="00960475">
        <w:tc>
          <w:tcPr>
            <w:tcW w:w="9184" w:type="dxa"/>
            <w:gridSpan w:val="2"/>
            <w:tcBorders>
              <w:top w:val="single" w:sz="4" w:space="0" w:color="auto"/>
            </w:tcBorders>
            <w:shd w:val="clear" w:color="auto" w:fill="FFFFFF" w:themeFill="background1"/>
            <w:vAlign w:val="center"/>
          </w:tcPr>
          <w:p w14:paraId="5D1B61E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key risks to note from this report are as follows:</w:t>
            </w:r>
          </w:p>
          <w:p w14:paraId="24EF3A4E" w14:textId="4202CB66"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recruit registered nursing staff against </w:t>
            </w:r>
            <w:r w:rsidR="00233855">
              <w:rPr>
                <w:rFonts w:asciiTheme="minorHAnsi" w:eastAsia="Arial" w:hAnsiTheme="minorHAnsi" w:cstheme="minorHAnsi"/>
                <w:sz w:val="22"/>
                <w:lang w:val="en-US"/>
              </w:rPr>
              <w:t xml:space="preserve">national </w:t>
            </w:r>
            <w:r w:rsidRPr="000B1816">
              <w:rPr>
                <w:rFonts w:asciiTheme="minorHAnsi" w:eastAsia="Arial" w:hAnsiTheme="minorHAnsi" w:cstheme="minorHAnsi"/>
                <w:sz w:val="22"/>
                <w:lang w:val="en-US"/>
              </w:rPr>
              <w:t xml:space="preserve">picture of increasing </w:t>
            </w:r>
            <w:proofErr w:type="gramStart"/>
            <w:r w:rsidRPr="000B1816">
              <w:rPr>
                <w:rFonts w:asciiTheme="minorHAnsi" w:eastAsia="Arial" w:hAnsiTheme="minorHAnsi" w:cstheme="minorHAnsi"/>
                <w:sz w:val="22"/>
                <w:lang w:val="en-US"/>
              </w:rPr>
              <w:t>vacancies</w:t>
            </w:r>
            <w:proofErr w:type="gramEnd"/>
          </w:p>
          <w:p w14:paraId="089C8AF2" w14:textId="77777777"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meet safer staffing requirements leading to bed closures and impact on patient waiting </w:t>
            </w:r>
            <w:proofErr w:type="gramStart"/>
            <w:r w:rsidRPr="000B1816">
              <w:rPr>
                <w:rFonts w:asciiTheme="minorHAnsi" w:eastAsia="Arial" w:hAnsiTheme="minorHAnsi" w:cstheme="minorHAnsi"/>
                <w:sz w:val="22"/>
                <w:lang w:val="en-US"/>
              </w:rPr>
              <w:t>lists</w:t>
            </w:r>
            <w:proofErr w:type="gramEnd"/>
            <w:r w:rsidRPr="000B1816">
              <w:rPr>
                <w:rFonts w:asciiTheme="minorHAnsi" w:eastAsia="Arial" w:hAnsiTheme="minorHAnsi" w:cstheme="minorHAnsi"/>
                <w:sz w:val="22"/>
                <w:lang w:val="en-US"/>
              </w:rPr>
              <w:t xml:space="preserve"> </w:t>
            </w:r>
          </w:p>
          <w:p w14:paraId="4EB79626" w14:textId="760E3DDF" w:rsidR="004A6D29" w:rsidRPr="00330E4F" w:rsidRDefault="004A6D29" w:rsidP="00E81E83">
            <w:pPr>
              <w:widowControl w:val="0"/>
              <w:autoSpaceDE w:val="0"/>
              <w:autoSpaceDN w:val="0"/>
              <w:spacing w:before="0"/>
              <w:ind w:left="720"/>
              <w:rPr>
                <w:rFonts w:cs="Arial"/>
                <w:bCs/>
                <w:i/>
                <w:color w:val="FF0000"/>
                <w:sz w:val="20"/>
                <w:szCs w:val="18"/>
              </w:rPr>
            </w:pPr>
          </w:p>
        </w:tc>
      </w:tr>
      <w:tr w:rsidR="00B95CDD" w:rsidRPr="00B95CDD" w14:paraId="3DC0C2CC" w14:textId="77777777" w:rsidTr="00B95CDD">
        <w:tc>
          <w:tcPr>
            <w:tcW w:w="9184" w:type="dxa"/>
            <w:gridSpan w:val="2"/>
            <w:tcBorders>
              <w:bottom w:val="single" w:sz="4" w:space="0" w:color="auto"/>
            </w:tcBorders>
            <w:shd w:val="clear" w:color="auto" w:fill="auto"/>
            <w:vAlign w:val="center"/>
          </w:tcPr>
          <w:p w14:paraId="5ED5739A" w14:textId="6FBB2D34" w:rsidR="00C9011E" w:rsidRPr="00B95CDD" w:rsidRDefault="00C9011E" w:rsidP="00960475">
            <w:pPr>
              <w:pStyle w:val="Table-text"/>
              <w:spacing w:before="0" w:after="0"/>
              <w:rPr>
                <w:rFonts w:cs="Arial"/>
                <w:b/>
                <w:bCs/>
                <w:sz w:val="22"/>
              </w:rPr>
            </w:pPr>
            <w:r w:rsidRPr="00B95CDD">
              <w:rPr>
                <w:rFonts w:cs="Arial"/>
                <w:b/>
                <w:bCs/>
                <w:sz w:val="22"/>
              </w:rPr>
              <w:t>Recommendations</w:t>
            </w:r>
            <w:r w:rsidR="00D57AE8">
              <w:rPr>
                <w:rFonts w:cs="Arial"/>
                <w:b/>
                <w:bCs/>
                <w:sz w:val="22"/>
              </w:rPr>
              <w:t>:</w:t>
            </w:r>
          </w:p>
        </w:tc>
      </w:tr>
      <w:tr w:rsidR="00C9011E" w:rsidRPr="00C9011E" w14:paraId="089D437E" w14:textId="77777777" w:rsidTr="00B95CDD">
        <w:tc>
          <w:tcPr>
            <w:tcW w:w="9184" w:type="dxa"/>
            <w:gridSpan w:val="2"/>
            <w:tcBorders>
              <w:top w:val="single" w:sz="4" w:space="0" w:color="auto"/>
            </w:tcBorders>
            <w:shd w:val="clear" w:color="auto" w:fill="FFFFFF" w:themeFill="background1"/>
            <w:vAlign w:val="center"/>
          </w:tcPr>
          <w:p w14:paraId="33AA85B3" w14:textId="5854FC76" w:rsidR="000B1816" w:rsidRDefault="00E81E83" w:rsidP="000B1816">
            <w:pPr>
              <w:rPr>
                <w:rFonts w:asciiTheme="minorHAnsi" w:hAnsiTheme="minorHAnsi" w:cstheme="minorHAnsi"/>
                <w:sz w:val="22"/>
              </w:rPr>
            </w:pPr>
            <w:bookmarkStart w:id="0" w:name="_Hlk137549902"/>
            <w:r>
              <w:rPr>
                <w:rFonts w:asciiTheme="minorHAnsi" w:hAnsiTheme="minorHAnsi" w:cstheme="minorHAnsi"/>
                <w:sz w:val="22"/>
              </w:rPr>
              <w:t xml:space="preserve">Any </w:t>
            </w:r>
            <w:r w:rsidR="000B1816" w:rsidRPr="000B1816">
              <w:rPr>
                <w:rFonts w:asciiTheme="minorHAnsi" w:hAnsiTheme="minorHAnsi" w:cstheme="minorHAnsi"/>
                <w:sz w:val="22"/>
              </w:rPr>
              <w:t>increas</w:t>
            </w:r>
            <w:r w:rsidR="00F45CAE">
              <w:rPr>
                <w:rFonts w:asciiTheme="minorHAnsi" w:hAnsiTheme="minorHAnsi" w:cstheme="minorHAnsi"/>
                <w:sz w:val="22"/>
              </w:rPr>
              <w:t xml:space="preserve">e into </w:t>
            </w:r>
            <w:r w:rsidR="000B1816" w:rsidRPr="000B1816">
              <w:rPr>
                <w:rFonts w:asciiTheme="minorHAnsi" w:hAnsiTheme="minorHAnsi" w:cstheme="minorHAnsi"/>
                <w:sz w:val="22"/>
              </w:rPr>
              <w:t xml:space="preserve">nurse vacancy position is unlikely to improve without </w:t>
            </w:r>
            <w:r>
              <w:rPr>
                <w:rFonts w:asciiTheme="minorHAnsi" w:hAnsiTheme="minorHAnsi" w:cstheme="minorHAnsi"/>
                <w:sz w:val="22"/>
              </w:rPr>
              <w:t>effective recruitment and retention measures as part of the strategy review.</w:t>
            </w:r>
            <w:r w:rsidR="000B1816" w:rsidRPr="000B1816">
              <w:rPr>
                <w:rFonts w:asciiTheme="minorHAnsi" w:hAnsiTheme="minorHAnsi" w:cstheme="minorHAnsi"/>
                <w:sz w:val="22"/>
              </w:rPr>
              <w:t xml:space="preserve"> </w:t>
            </w:r>
            <w:r>
              <w:rPr>
                <w:rFonts w:asciiTheme="minorHAnsi" w:hAnsiTheme="minorHAnsi" w:cstheme="minorHAnsi"/>
                <w:sz w:val="22"/>
              </w:rPr>
              <w:t>It is therefore recommended:</w:t>
            </w:r>
          </w:p>
          <w:p w14:paraId="4213C1A9" w14:textId="77777777" w:rsidR="00E81E83" w:rsidRDefault="00E81E83" w:rsidP="00E81E83">
            <w:pPr>
              <w:pStyle w:val="ListParagraph"/>
              <w:numPr>
                <w:ilvl w:val="0"/>
                <w:numId w:val="33"/>
              </w:numPr>
              <w:rPr>
                <w:rFonts w:asciiTheme="minorHAnsi" w:hAnsiTheme="minorHAnsi" w:cstheme="minorHAnsi"/>
                <w:sz w:val="22"/>
              </w:rPr>
            </w:pPr>
            <w:r w:rsidRPr="00E81E83">
              <w:rPr>
                <w:rFonts w:asciiTheme="minorHAnsi" w:hAnsiTheme="minorHAnsi" w:cstheme="minorHAnsi"/>
                <w:sz w:val="22"/>
              </w:rPr>
              <w:t xml:space="preserve">Progress actions through recruitment and retention task and finish group led by Chief People Officer/Chief Nursing Officer  </w:t>
            </w:r>
          </w:p>
          <w:p w14:paraId="0B24CB7B" w14:textId="27ECCA25" w:rsidR="000B1816" w:rsidRPr="00E81E83" w:rsidRDefault="000B1816" w:rsidP="00E81E83">
            <w:pPr>
              <w:pStyle w:val="ListParagraph"/>
              <w:numPr>
                <w:ilvl w:val="0"/>
                <w:numId w:val="33"/>
              </w:numPr>
              <w:rPr>
                <w:rFonts w:asciiTheme="minorHAnsi" w:hAnsiTheme="minorHAnsi" w:cstheme="minorHAnsi"/>
                <w:sz w:val="22"/>
              </w:rPr>
            </w:pPr>
            <w:r w:rsidRPr="00E81E83">
              <w:rPr>
                <w:rFonts w:asciiTheme="minorHAnsi" w:hAnsiTheme="minorHAnsi" w:cstheme="minorHAnsi"/>
                <w:sz w:val="22"/>
              </w:rPr>
              <w:t xml:space="preserve">Safer staffing report to come to people committee </w:t>
            </w:r>
            <w:proofErr w:type="gramStart"/>
            <w:r w:rsidRPr="00E81E83">
              <w:rPr>
                <w:rFonts w:asciiTheme="minorHAnsi" w:hAnsiTheme="minorHAnsi" w:cstheme="minorHAnsi"/>
                <w:sz w:val="22"/>
              </w:rPr>
              <w:t>monthly</w:t>
            </w:r>
            <w:proofErr w:type="gramEnd"/>
            <w:r w:rsidRPr="00E81E83">
              <w:rPr>
                <w:rFonts w:asciiTheme="minorHAnsi" w:hAnsiTheme="minorHAnsi" w:cstheme="minorHAnsi"/>
                <w:sz w:val="22"/>
              </w:rPr>
              <w:t xml:space="preserve"> </w:t>
            </w:r>
          </w:p>
          <w:p w14:paraId="68D55061" w14:textId="099951EE" w:rsidR="00C9011E" w:rsidRPr="007803C6" w:rsidRDefault="000B1816" w:rsidP="005E4F9A">
            <w:pPr>
              <w:widowControl w:val="0"/>
              <w:autoSpaceDE w:val="0"/>
              <w:autoSpaceDN w:val="0"/>
              <w:spacing w:before="0"/>
              <w:rPr>
                <w:rFonts w:cs="Arial"/>
                <w:iCs/>
                <w:szCs w:val="20"/>
                <w:lang w:val="en-US"/>
              </w:rPr>
            </w:pPr>
            <w:r w:rsidRPr="007803C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bookmarkEnd w:id="0"/>
          <w:p w14:paraId="5D8669FF" w14:textId="6936728C" w:rsidR="007E1D8B" w:rsidRPr="007E1D8B" w:rsidRDefault="007E1D8B" w:rsidP="00996ADB">
            <w:pPr>
              <w:pStyle w:val="Table-text"/>
              <w:spacing w:before="0" w:after="0"/>
              <w:rPr>
                <w:rFonts w:cs="Arial"/>
                <w:iCs/>
                <w:szCs w:val="20"/>
                <w:lang w:val="en-US"/>
              </w:rPr>
            </w:pPr>
          </w:p>
        </w:tc>
      </w:tr>
    </w:tbl>
    <w:p w14:paraId="36A43294" w14:textId="330FA475" w:rsidR="00996ADB" w:rsidRPr="00330E4F" w:rsidRDefault="00996ADB" w:rsidP="00A24F60">
      <w:pPr>
        <w:spacing w:before="0" w:after="200" w:line="276" w:lineRule="auto"/>
        <w:rPr>
          <w:rFonts w:cs="Arial"/>
          <w:b/>
          <w:sz w:val="22"/>
        </w:rPr>
      </w:pPr>
      <w:r>
        <w:rPr>
          <w:color w:val="4F81BD" w:themeColor="accent1"/>
          <w:sz w:val="22"/>
        </w:rPr>
        <w:br w:type="page"/>
      </w:r>
      <w:r w:rsidRPr="00330E4F">
        <w:rPr>
          <w:rFonts w:cs="Arial"/>
          <w:b/>
          <w:sz w:val="22"/>
        </w:rPr>
        <w:lastRenderedPageBreak/>
        <w:t>1.</w:t>
      </w:r>
      <w:r w:rsidRPr="00330E4F">
        <w:rPr>
          <w:rFonts w:cs="Arial"/>
          <w:b/>
          <w:sz w:val="22"/>
        </w:rPr>
        <w:tab/>
      </w:r>
      <w:r w:rsidR="00377560">
        <w:rPr>
          <w:rFonts w:cs="Arial"/>
          <w:b/>
          <w:sz w:val="22"/>
        </w:rPr>
        <w:t>Background / context</w:t>
      </w:r>
    </w:p>
    <w:p w14:paraId="0C7395E7" w14:textId="450413BF"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 xml:space="preserve">The workforce Staffing Safeguards have been reviewed and assessments are in place to report to the People Committee on the staffing position for Nursing for </w:t>
      </w:r>
      <w:r w:rsidR="005E4F9A">
        <w:rPr>
          <w:rFonts w:asciiTheme="minorHAnsi" w:eastAsiaTheme="minorHAnsi" w:hAnsiTheme="minorHAnsi" w:cstheme="minorHAnsi"/>
          <w:sz w:val="22"/>
          <w:lang w:val="en-US"/>
        </w:rPr>
        <w:t>August</w:t>
      </w:r>
      <w:r w:rsidRPr="000B1816">
        <w:rPr>
          <w:rFonts w:asciiTheme="minorHAnsi" w:eastAsiaTheme="minorHAnsi" w:hAnsiTheme="minorHAnsi" w:cstheme="minorHAnsi"/>
          <w:sz w:val="22"/>
          <w:lang w:val="en-US"/>
        </w:rPr>
        <w:t xml:space="preserve"> 2023. </w:t>
      </w:r>
    </w:p>
    <w:p w14:paraId="494A7E9B"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p>
    <w:p w14:paraId="49E7E948"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This assessment is in line with Health and Social care regulations:</w:t>
      </w:r>
    </w:p>
    <w:p w14:paraId="60ED5B5A"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12: Safe Care and treatment</w:t>
      </w:r>
    </w:p>
    <w:p w14:paraId="0CD670A1"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17: Good Governance</w:t>
      </w:r>
    </w:p>
    <w:p w14:paraId="19AB774E"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18: Safe Staffing</w:t>
      </w:r>
    </w:p>
    <w:p w14:paraId="620CA24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19B99D4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A6A4DFB" w14:textId="77777777" w:rsidR="00996ADB" w:rsidRPr="00330E4F" w:rsidRDefault="00996ADB" w:rsidP="00996ADB">
      <w:pPr>
        <w:rPr>
          <w:rFonts w:cs="Arial"/>
          <w:sz w:val="20"/>
        </w:rPr>
      </w:pPr>
    </w:p>
    <w:p w14:paraId="4F6AD929" w14:textId="49FEF7C4"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report provides an overview of the nurse staffing levels and skill mix for </w:t>
      </w:r>
      <w:r w:rsidR="005E4F9A">
        <w:rPr>
          <w:rFonts w:asciiTheme="minorHAnsi" w:eastAsia="Arial" w:hAnsiTheme="minorHAnsi" w:cstheme="minorHAnsi"/>
          <w:sz w:val="22"/>
          <w:lang w:val="en-US"/>
        </w:rPr>
        <w:t>August</w:t>
      </w:r>
      <w:r w:rsidRPr="000B1816">
        <w:rPr>
          <w:rFonts w:asciiTheme="minorHAnsi" w:eastAsia="Arial" w:hAnsiTheme="minorHAnsi" w:cstheme="minorHAnsi"/>
          <w:sz w:val="22"/>
          <w:lang w:val="en-US"/>
        </w:rPr>
        <w:t xml:space="preserve"> 2023. It details staffing fill rates, care hours per day, current arrangements for oversight and governance, use of bank/agency staffing, an update on targeted areas to support the pipeline for nurse staffing.</w:t>
      </w:r>
    </w:p>
    <w:p w14:paraId="5119E378"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200ACE65" w14:textId="303BFE9E" w:rsidR="001E7354" w:rsidRDefault="000B1816" w:rsidP="000B1816">
      <w:pPr>
        <w:widowControl w:val="0"/>
        <w:autoSpaceDE w:val="0"/>
        <w:autoSpaceDN w:val="0"/>
        <w:spacing w:before="0"/>
        <w:rPr>
          <w:rFonts w:asciiTheme="minorHAnsi" w:eastAsia="Arial" w:hAnsiTheme="minorHAnsi" w:cstheme="minorHAnsi"/>
          <w:sz w:val="22"/>
          <w:lang w:val="en-US"/>
        </w:rPr>
      </w:pPr>
      <w:proofErr w:type="gramStart"/>
      <w:r w:rsidRPr="00BF1545">
        <w:rPr>
          <w:rFonts w:asciiTheme="minorHAnsi" w:eastAsia="Arial" w:hAnsiTheme="minorHAnsi" w:cstheme="minorHAnsi"/>
          <w:sz w:val="22"/>
          <w:lang w:val="en-US"/>
        </w:rPr>
        <w:t xml:space="preserve">Data for </w:t>
      </w:r>
      <w:r w:rsidR="005E4F9A">
        <w:rPr>
          <w:rFonts w:asciiTheme="minorHAnsi" w:eastAsia="Arial" w:hAnsiTheme="minorHAnsi" w:cstheme="minorHAnsi"/>
          <w:sz w:val="22"/>
          <w:lang w:val="en-US"/>
        </w:rPr>
        <w:t>August</w:t>
      </w:r>
      <w:r w:rsidRPr="00BF1545">
        <w:rPr>
          <w:rFonts w:asciiTheme="minorHAnsi" w:eastAsia="Arial" w:hAnsiTheme="minorHAnsi" w:cstheme="minorHAnsi"/>
          <w:sz w:val="22"/>
          <w:lang w:val="en-US"/>
        </w:rPr>
        <w:t xml:space="preserve"> 2023</w:t>
      </w:r>
      <w:r w:rsidR="00401A9D">
        <w:rPr>
          <w:rFonts w:asciiTheme="minorHAnsi" w:eastAsia="Arial" w:hAnsiTheme="minorHAnsi" w:cstheme="minorHAnsi"/>
          <w:sz w:val="22"/>
          <w:lang w:val="en-US"/>
        </w:rPr>
        <w:t>,</w:t>
      </w:r>
      <w:proofErr w:type="gramEnd"/>
      <w:r w:rsidRPr="000B1816">
        <w:rPr>
          <w:rFonts w:asciiTheme="minorHAnsi" w:eastAsia="Arial" w:hAnsiTheme="minorHAnsi" w:cstheme="minorHAnsi"/>
          <w:sz w:val="22"/>
          <w:lang w:val="en-US"/>
        </w:rPr>
        <w:t xml:space="preserve"> </w:t>
      </w:r>
      <w:r w:rsidRPr="00262F01">
        <w:rPr>
          <w:rFonts w:asciiTheme="minorHAnsi" w:eastAsia="Arial" w:hAnsiTheme="minorHAnsi" w:cstheme="minorHAnsi"/>
          <w:sz w:val="22"/>
          <w:lang w:val="en-US"/>
        </w:rPr>
        <w:t>shows staffing fill rates are abov</w:t>
      </w:r>
      <w:r w:rsidR="005574B3" w:rsidRPr="00262F01">
        <w:rPr>
          <w:rFonts w:asciiTheme="minorHAnsi" w:eastAsia="Arial" w:hAnsiTheme="minorHAnsi" w:cstheme="minorHAnsi"/>
          <w:sz w:val="22"/>
          <w:lang w:val="en-US"/>
        </w:rPr>
        <w:t>e</w:t>
      </w:r>
      <w:r w:rsidRPr="00262F01">
        <w:rPr>
          <w:rFonts w:asciiTheme="minorHAnsi" w:eastAsia="Arial" w:hAnsiTheme="minorHAnsi" w:cstheme="minorHAnsi"/>
          <w:sz w:val="22"/>
          <w:lang w:val="en-US"/>
        </w:rPr>
        <w:t xml:space="preserve"> the Trust target</w:t>
      </w:r>
      <w:r w:rsidRPr="000B1816">
        <w:rPr>
          <w:rFonts w:asciiTheme="minorHAnsi" w:eastAsia="Arial" w:hAnsiTheme="minorHAnsi" w:cstheme="minorHAnsi"/>
          <w:sz w:val="22"/>
          <w:lang w:val="en-US"/>
        </w:rPr>
        <w:t xml:space="preserve"> thereby providing assurance that wards were sufficiently staffed</w:t>
      </w:r>
      <w:r w:rsidR="005574B3">
        <w:rPr>
          <w:rFonts w:asciiTheme="minorHAnsi" w:eastAsia="Arial" w:hAnsiTheme="minorHAnsi" w:cstheme="minorHAnsi"/>
          <w:sz w:val="22"/>
          <w:lang w:val="en-US"/>
        </w:rPr>
        <w:t xml:space="preserve">. </w:t>
      </w:r>
      <w:bookmarkStart w:id="1" w:name="_Hlk143516958"/>
      <w:r w:rsidR="006F7C04">
        <w:rPr>
          <w:rFonts w:asciiTheme="minorHAnsi" w:eastAsia="Arial" w:hAnsiTheme="minorHAnsi" w:cstheme="minorHAnsi"/>
          <w:sz w:val="22"/>
          <w:lang w:val="en-US"/>
        </w:rPr>
        <w:t>August</w:t>
      </w:r>
      <w:r w:rsidR="008A4354">
        <w:rPr>
          <w:rFonts w:asciiTheme="minorHAnsi" w:eastAsia="Arial" w:hAnsiTheme="minorHAnsi" w:cstheme="minorHAnsi"/>
          <w:sz w:val="22"/>
          <w:lang w:val="en-US"/>
        </w:rPr>
        <w:t xml:space="preserve"> </w:t>
      </w:r>
      <w:r w:rsidR="005574B3" w:rsidRPr="008A4354">
        <w:rPr>
          <w:rFonts w:asciiTheme="minorHAnsi" w:eastAsia="Arial" w:hAnsiTheme="minorHAnsi" w:cstheme="minorHAnsi"/>
          <w:sz w:val="22"/>
          <w:lang w:val="en-US"/>
        </w:rPr>
        <w:t>saw a reduction in agency spend</w:t>
      </w:r>
      <w:r w:rsidR="005574B3">
        <w:rPr>
          <w:rFonts w:asciiTheme="minorHAnsi" w:eastAsia="Arial" w:hAnsiTheme="minorHAnsi" w:cstheme="minorHAnsi"/>
          <w:sz w:val="22"/>
          <w:lang w:val="en-US"/>
        </w:rPr>
        <w:t xml:space="preserve"> for both divisions</w:t>
      </w:r>
      <w:r w:rsidR="00025FBF">
        <w:rPr>
          <w:rFonts w:asciiTheme="minorHAnsi" w:eastAsia="Arial" w:hAnsiTheme="minorHAnsi" w:cstheme="minorHAnsi"/>
          <w:sz w:val="22"/>
          <w:lang w:val="en-US"/>
        </w:rPr>
        <w:t xml:space="preserve">. </w:t>
      </w:r>
      <w:r w:rsidR="007E6AD6">
        <w:rPr>
          <w:rFonts w:asciiTheme="minorHAnsi" w:eastAsia="Arial" w:hAnsiTheme="minorHAnsi" w:cstheme="minorHAnsi"/>
          <w:sz w:val="22"/>
          <w:lang w:val="en-US"/>
        </w:rPr>
        <w:t>T</w:t>
      </w:r>
      <w:r w:rsidR="00E13402">
        <w:rPr>
          <w:rFonts w:asciiTheme="minorHAnsi" w:eastAsia="Arial" w:hAnsiTheme="minorHAnsi" w:cstheme="minorHAnsi"/>
          <w:sz w:val="22"/>
          <w:lang w:val="en-US"/>
        </w:rPr>
        <w:t xml:space="preserve">his is </w:t>
      </w:r>
      <w:r w:rsidR="00E13402" w:rsidRPr="00025FBF">
        <w:rPr>
          <w:rFonts w:asciiTheme="minorHAnsi" w:eastAsia="Arial" w:hAnsiTheme="minorHAnsi" w:cstheme="minorHAnsi"/>
          <w:sz w:val="22"/>
          <w:lang w:val="en-US"/>
        </w:rPr>
        <w:t xml:space="preserve">reflective of </w:t>
      </w:r>
      <w:proofErr w:type="spellStart"/>
      <w:r w:rsidR="00FE0AFF" w:rsidRPr="00FE0AFF">
        <w:rPr>
          <w:rFonts w:asciiTheme="minorHAnsi" w:eastAsia="Arial" w:hAnsiTheme="minorHAnsi" w:cstheme="minorHAnsi"/>
          <w:sz w:val="22"/>
          <w:lang w:val="en-US"/>
        </w:rPr>
        <w:t>indrustrial</w:t>
      </w:r>
      <w:proofErr w:type="spellEnd"/>
      <w:r w:rsidR="00FE0AFF" w:rsidRPr="00FE0AFF">
        <w:rPr>
          <w:rFonts w:asciiTheme="minorHAnsi" w:eastAsia="Arial" w:hAnsiTheme="minorHAnsi" w:cstheme="minorHAnsi"/>
          <w:sz w:val="22"/>
          <w:lang w:val="en-US"/>
        </w:rPr>
        <w:t xml:space="preserve"> action</w:t>
      </w:r>
      <w:r w:rsidR="00FE0AFF">
        <w:rPr>
          <w:rFonts w:asciiTheme="minorHAnsi" w:eastAsia="Arial" w:hAnsiTheme="minorHAnsi" w:cstheme="minorHAnsi"/>
          <w:sz w:val="22"/>
          <w:lang w:val="en-US"/>
        </w:rPr>
        <w:t>,</w:t>
      </w:r>
      <w:r w:rsidR="00E13402" w:rsidRPr="00025FBF">
        <w:rPr>
          <w:rFonts w:asciiTheme="minorHAnsi" w:eastAsia="Arial" w:hAnsiTheme="minorHAnsi" w:cstheme="minorHAnsi"/>
          <w:sz w:val="22"/>
          <w:lang w:val="en-US"/>
        </w:rPr>
        <w:t xml:space="preserve"> reduction in activity</w:t>
      </w:r>
      <w:r w:rsidR="00FE0AFF">
        <w:rPr>
          <w:rFonts w:asciiTheme="minorHAnsi" w:eastAsia="Arial" w:hAnsiTheme="minorHAnsi" w:cstheme="minorHAnsi"/>
          <w:sz w:val="22"/>
          <w:lang w:val="en-US"/>
        </w:rPr>
        <w:t xml:space="preserve"> and</w:t>
      </w:r>
      <w:r w:rsidR="00E13402" w:rsidRPr="00025FBF">
        <w:rPr>
          <w:rFonts w:asciiTheme="minorHAnsi" w:eastAsia="Arial" w:hAnsiTheme="minorHAnsi" w:cstheme="minorHAnsi"/>
          <w:sz w:val="22"/>
          <w:lang w:val="en-US"/>
        </w:rPr>
        <w:t xml:space="preserve"> ward closures</w:t>
      </w:r>
      <w:r w:rsidR="00E13402">
        <w:rPr>
          <w:rFonts w:asciiTheme="minorHAnsi" w:eastAsia="Arial" w:hAnsiTheme="minorHAnsi" w:cstheme="minorHAnsi"/>
          <w:sz w:val="22"/>
          <w:lang w:val="en-US"/>
        </w:rPr>
        <w:t>.</w:t>
      </w:r>
      <w:r w:rsidRPr="000B1816">
        <w:rPr>
          <w:rFonts w:asciiTheme="minorHAnsi" w:eastAsia="Arial" w:hAnsiTheme="minorHAnsi" w:cstheme="minorHAnsi"/>
          <w:sz w:val="22"/>
          <w:lang w:val="en-US"/>
        </w:rPr>
        <w:t xml:space="preserve"> </w:t>
      </w:r>
      <w:bookmarkEnd w:id="1"/>
    </w:p>
    <w:p w14:paraId="0A9DA164" w14:textId="77777777" w:rsidR="001E7354" w:rsidRDefault="001E7354" w:rsidP="000B1816">
      <w:pPr>
        <w:widowControl w:val="0"/>
        <w:autoSpaceDE w:val="0"/>
        <w:autoSpaceDN w:val="0"/>
        <w:spacing w:before="0"/>
        <w:rPr>
          <w:rFonts w:asciiTheme="minorHAnsi" w:eastAsia="Arial" w:hAnsiTheme="minorHAnsi" w:cstheme="minorHAnsi"/>
          <w:sz w:val="22"/>
          <w:lang w:val="en-US"/>
        </w:rPr>
      </w:pPr>
    </w:p>
    <w:p w14:paraId="67DCC996" w14:textId="137D158F" w:rsidR="001E7354" w:rsidRDefault="001E7354" w:rsidP="000B1816">
      <w:pPr>
        <w:widowControl w:val="0"/>
        <w:autoSpaceDE w:val="0"/>
        <w:autoSpaceDN w:val="0"/>
        <w:spacing w:before="0"/>
        <w:rPr>
          <w:rFonts w:asciiTheme="minorHAnsi" w:eastAsia="Arial" w:hAnsiTheme="minorHAnsi" w:cstheme="minorHAnsi"/>
          <w:sz w:val="22"/>
          <w:lang w:val="en-US"/>
        </w:rPr>
      </w:pPr>
      <w:r w:rsidRPr="00930CF4">
        <w:rPr>
          <w:rFonts w:asciiTheme="minorHAnsi" w:eastAsia="Arial" w:hAnsiTheme="minorHAnsi" w:cstheme="minorHAnsi"/>
          <w:sz w:val="22"/>
          <w:lang w:val="en-US"/>
        </w:rPr>
        <w:t>Care hours per day are in line with expectations</w:t>
      </w:r>
      <w:r w:rsidRPr="001E7354">
        <w:rPr>
          <w:rFonts w:asciiTheme="minorHAnsi" w:eastAsia="Arial" w:hAnsiTheme="minorHAnsi" w:cstheme="minorHAnsi"/>
          <w:sz w:val="22"/>
          <w:lang w:val="en-US"/>
        </w:rPr>
        <w:t xml:space="preserve"> with nurse-to-patient ratios and acuity levels as monitored through the daily safer care meetings.</w:t>
      </w:r>
    </w:p>
    <w:p w14:paraId="6222F195" w14:textId="77777777" w:rsidR="009003EA" w:rsidRDefault="009003EA" w:rsidP="000B1816">
      <w:pPr>
        <w:widowControl w:val="0"/>
        <w:autoSpaceDE w:val="0"/>
        <w:autoSpaceDN w:val="0"/>
        <w:spacing w:before="0"/>
        <w:rPr>
          <w:rFonts w:asciiTheme="minorHAnsi" w:eastAsia="Arial" w:hAnsiTheme="minorHAnsi" w:cstheme="minorHAnsi"/>
          <w:sz w:val="22"/>
          <w:lang w:val="en-US"/>
        </w:rPr>
      </w:pPr>
    </w:p>
    <w:p w14:paraId="07CA36CA" w14:textId="05351A1D" w:rsidR="00BF1545" w:rsidRDefault="009003EA" w:rsidP="000B1816">
      <w:pPr>
        <w:widowControl w:val="0"/>
        <w:autoSpaceDE w:val="0"/>
        <w:autoSpaceDN w:val="0"/>
        <w:spacing w:before="0"/>
        <w:rPr>
          <w:rFonts w:asciiTheme="minorHAnsi" w:eastAsia="Arial" w:hAnsiTheme="minorHAnsi" w:cstheme="minorHAnsi"/>
          <w:sz w:val="22"/>
          <w:lang w:val="en-US"/>
        </w:rPr>
      </w:pPr>
      <w:bookmarkStart w:id="2" w:name="_Hlk143517339"/>
      <w:r>
        <w:rPr>
          <w:rFonts w:asciiTheme="minorHAnsi" w:eastAsia="Arial" w:hAnsiTheme="minorHAnsi" w:cstheme="minorHAnsi"/>
          <w:sz w:val="22"/>
          <w:lang w:val="en-US"/>
        </w:rPr>
        <w:t xml:space="preserve">The sickness rates for RN’s </w:t>
      </w:r>
      <w:r w:rsidR="008A4354">
        <w:rPr>
          <w:rFonts w:asciiTheme="minorHAnsi" w:eastAsia="Arial" w:hAnsiTheme="minorHAnsi" w:cstheme="minorHAnsi"/>
          <w:sz w:val="22"/>
          <w:lang w:val="en-US"/>
        </w:rPr>
        <w:t>and</w:t>
      </w:r>
      <w:r w:rsidR="008A4354" w:rsidRPr="008A4354">
        <w:t xml:space="preserve"> </w:t>
      </w:r>
      <w:r w:rsidR="008A4354" w:rsidRPr="008A4354">
        <w:rPr>
          <w:rFonts w:asciiTheme="minorHAnsi" w:eastAsia="Arial" w:hAnsiTheme="minorHAnsi" w:cstheme="minorHAnsi"/>
          <w:sz w:val="22"/>
          <w:lang w:val="en-US"/>
        </w:rPr>
        <w:t>HCSW’S</w:t>
      </w:r>
      <w:r w:rsidR="008A4354">
        <w:rPr>
          <w:rFonts w:asciiTheme="minorHAnsi" w:eastAsia="Arial" w:hAnsiTheme="minorHAnsi" w:cstheme="minorHAnsi"/>
          <w:sz w:val="22"/>
          <w:lang w:val="en-US"/>
        </w:rPr>
        <w:t xml:space="preserve"> across both </w:t>
      </w:r>
      <w:r w:rsidR="00B54770">
        <w:rPr>
          <w:rFonts w:asciiTheme="minorHAnsi" w:eastAsia="Arial" w:hAnsiTheme="minorHAnsi" w:cstheme="minorHAnsi"/>
          <w:sz w:val="22"/>
          <w:lang w:val="en-US"/>
        </w:rPr>
        <w:t>units (MSK &amp;S</w:t>
      </w:r>
      <w:r>
        <w:rPr>
          <w:rFonts w:asciiTheme="minorHAnsi" w:eastAsia="Arial" w:hAnsiTheme="minorHAnsi" w:cstheme="minorHAnsi"/>
          <w:sz w:val="22"/>
          <w:lang w:val="en-US"/>
        </w:rPr>
        <w:t>pecialist</w:t>
      </w:r>
      <w:r w:rsidR="00B54770">
        <w:rPr>
          <w:rFonts w:asciiTheme="minorHAnsi" w:eastAsia="Arial" w:hAnsiTheme="minorHAnsi" w:cstheme="minorHAnsi"/>
          <w:sz w:val="22"/>
          <w:lang w:val="en-US"/>
        </w:rPr>
        <w:t>)</w:t>
      </w:r>
      <w:r>
        <w:rPr>
          <w:rFonts w:asciiTheme="minorHAnsi" w:eastAsia="Arial" w:hAnsiTheme="minorHAnsi" w:cstheme="minorHAnsi"/>
          <w:sz w:val="22"/>
          <w:lang w:val="en-US"/>
        </w:rPr>
        <w:t xml:space="preserve"> remain above the Trust target of 4%</w:t>
      </w:r>
      <w:r w:rsidR="00BF1545">
        <w:rPr>
          <w:rFonts w:asciiTheme="minorHAnsi" w:eastAsia="Arial" w:hAnsiTheme="minorHAnsi" w:cstheme="minorHAnsi"/>
          <w:sz w:val="22"/>
          <w:lang w:val="en-US"/>
        </w:rPr>
        <w:t>.</w:t>
      </w:r>
      <w:r w:rsidR="00B54770">
        <w:rPr>
          <w:rFonts w:asciiTheme="minorHAnsi" w:eastAsia="Arial" w:hAnsiTheme="minorHAnsi" w:cstheme="minorHAnsi"/>
          <w:sz w:val="22"/>
          <w:lang w:val="en-US"/>
        </w:rPr>
        <w:t xml:space="preserve"> To note, Specialist Unit has seen a reduction and improvement on last month, but sickness rates within MSK ha</w:t>
      </w:r>
      <w:r w:rsidR="00586A5C">
        <w:rPr>
          <w:rFonts w:asciiTheme="minorHAnsi" w:eastAsia="Arial" w:hAnsiTheme="minorHAnsi" w:cstheme="minorHAnsi"/>
          <w:sz w:val="22"/>
          <w:lang w:val="en-US"/>
        </w:rPr>
        <w:t>d</w:t>
      </w:r>
      <w:r w:rsidR="00B54770">
        <w:rPr>
          <w:rFonts w:asciiTheme="minorHAnsi" w:eastAsia="Arial" w:hAnsiTheme="minorHAnsi" w:cstheme="minorHAnsi"/>
          <w:sz w:val="22"/>
          <w:lang w:val="en-US"/>
        </w:rPr>
        <w:t xml:space="preserve"> increase</w:t>
      </w:r>
      <w:r w:rsidR="00262F01">
        <w:rPr>
          <w:rFonts w:asciiTheme="minorHAnsi" w:eastAsia="Arial" w:hAnsiTheme="minorHAnsi" w:cstheme="minorHAnsi"/>
          <w:sz w:val="22"/>
          <w:lang w:val="en-US"/>
        </w:rPr>
        <w:t>d</w:t>
      </w:r>
      <w:r w:rsidR="00B54770">
        <w:rPr>
          <w:rFonts w:asciiTheme="minorHAnsi" w:eastAsia="Arial" w:hAnsiTheme="minorHAnsi" w:cstheme="minorHAnsi"/>
          <w:sz w:val="22"/>
          <w:lang w:val="en-US"/>
        </w:rPr>
        <w:t xml:space="preserve">. </w:t>
      </w:r>
      <w:r w:rsidR="00D9089E">
        <w:rPr>
          <w:rFonts w:asciiTheme="minorHAnsi" w:eastAsia="Arial" w:hAnsiTheme="minorHAnsi" w:cstheme="minorHAnsi"/>
          <w:sz w:val="22"/>
          <w:lang w:val="en-US"/>
        </w:rPr>
        <w:t>T</w:t>
      </w:r>
      <w:r w:rsidR="00D9089E" w:rsidRPr="00D9089E">
        <w:rPr>
          <w:rFonts w:asciiTheme="minorHAnsi" w:eastAsia="Arial" w:hAnsiTheme="minorHAnsi" w:cstheme="minorHAnsi"/>
          <w:sz w:val="22"/>
          <w:lang w:val="en-US"/>
        </w:rPr>
        <w:t>he nursing team</w:t>
      </w:r>
      <w:r w:rsidR="00B54770">
        <w:rPr>
          <w:rFonts w:asciiTheme="minorHAnsi" w:eastAsia="Arial" w:hAnsiTheme="minorHAnsi" w:cstheme="minorHAnsi"/>
          <w:sz w:val="22"/>
          <w:lang w:val="en-US"/>
        </w:rPr>
        <w:t xml:space="preserve"> will</w:t>
      </w:r>
      <w:r w:rsidR="00D9089E" w:rsidRPr="00D9089E">
        <w:rPr>
          <w:rFonts w:asciiTheme="minorHAnsi" w:eastAsia="Arial" w:hAnsiTheme="minorHAnsi" w:cstheme="minorHAnsi"/>
          <w:sz w:val="22"/>
          <w:lang w:val="en-US"/>
        </w:rPr>
        <w:t xml:space="preserve"> continue to support and </w:t>
      </w:r>
      <w:proofErr w:type="gramStart"/>
      <w:r w:rsidR="00D9089E" w:rsidRPr="00D9089E">
        <w:rPr>
          <w:rFonts w:asciiTheme="minorHAnsi" w:eastAsia="Arial" w:hAnsiTheme="minorHAnsi" w:cstheme="minorHAnsi"/>
          <w:sz w:val="22"/>
          <w:lang w:val="en-US"/>
        </w:rPr>
        <w:t>take action</w:t>
      </w:r>
      <w:proofErr w:type="gramEnd"/>
      <w:r w:rsidR="00D9089E" w:rsidRPr="00D9089E">
        <w:rPr>
          <w:rFonts w:asciiTheme="minorHAnsi" w:eastAsia="Arial" w:hAnsiTheme="minorHAnsi" w:cstheme="minorHAnsi"/>
          <w:sz w:val="22"/>
          <w:lang w:val="en-US"/>
        </w:rPr>
        <w:t xml:space="preserve"> on the joint work to address the absences</w:t>
      </w:r>
      <w:r w:rsidR="00D9089E">
        <w:rPr>
          <w:rFonts w:asciiTheme="minorHAnsi" w:eastAsia="Arial" w:hAnsiTheme="minorHAnsi" w:cstheme="minorHAnsi"/>
          <w:sz w:val="22"/>
          <w:lang w:val="en-US"/>
        </w:rPr>
        <w:t xml:space="preserve"> and </w:t>
      </w:r>
      <w:r w:rsidR="00D9089E" w:rsidRPr="00D9089E">
        <w:rPr>
          <w:rFonts w:asciiTheme="minorHAnsi" w:eastAsia="Arial" w:hAnsiTheme="minorHAnsi" w:cstheme="minorHAnsi"/>
          <w:sz w:val="22"/>
          <w:lang w:val="en-US"/>
        </w:rPr>
        <w:t xml:space="preserve">recruitment and retention work. </w:t>
      </w:r>
    </w:p>
    <w:bookmarkEnd w:id="2"/>
    <w:p w14:paraId="0E642EC4" w14:textId="77777777" w:rsidR="00BF1545" w:rsidRDefault="00BF1545" w:rsidP="000B1816">
      <w:pPr>
        <w:widowControl w:val="0"/>
        <w:autoSpaceDE w:val="0"/>
        <w:autoSpaceDN w:val="0"/>
        <w:spacing w:before="0"/>
        <w:rPr>
          <w:rFonts w:asciiTheme="minorHAnsi" w:eastAsia="Arial" w:hAnsiTheme="minorHAnsi" w:cstheme="minorHAnsi"/>
          <w:sz w:val="22"/>
          <w:lang w:val="en-US"/>
        </w:rPr>
      </w:pPr>
    </w:p>
    <w:p w14:paraId="736DEC67" w14:textId="4C1E7817" w:rsidR="000B1816" w:rsidRPr="000B1816" w:rsidRDefault="00B54770" w:rsidP="000B1816">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August </w:t>
      </w:r>
      <w:r w:rsidR="00D9089E">
        <w:rPr>
          <w:rFonts w:asciiTheme="minorHAnsi" w:eastAsia="Arial" w:hAnsiTheme="minorHAnsi" w:cstheme="minorHAnsi"/>
          <w:sz w:val="22"/>
          <w:lang w:val="en-US"/>
        </w:rPr>
        <w:t>saw further p</w:t>
      </w:r>
      <w:r w:rsidR="00D9089E" w:rsidRPr="00D9089E">
        <w:rPr>
          <w:rFonts w:asciiTheme="minorHAnsi" w:eastAsia="Arial" w:hAnsiTheme="minorHAnsi" w:cstheme="minorHAnsi"/>
          <w:sz w:val="22"/>
          <w:lang w:val="en-US"/>
        </w:rPr>
        <w:t xml:space="preserve">rogress being made to deliver a pipeline </w:t>
      </w:r>
      <w:r w:rsidR="001E7354">
        <w:rPr>
          <w:rFonts w:asciiTheme="minorHAnsi" w:eastAsia="Arial" w:hAnsiTheme="minorHAnsi" w:cstheme="minorHAnsi"/>
          <w:sz w:val="22"/>
          <w:lang w:val="en-US"/>
        </w:rPr>
        <w:t>of</w:t>
      </w:r>
      <w:r w:rsidR="00D9089E" w:rsidRPr="00D9089E">
        <w:rPr>
          <w:rFonts w:asciiTheme="minorHAnsi" w:eastAsia="Arial" w:hAnsiTheme="minorHAnsi" w:cstheme="minorHAnsi"/>
          <w:sz w:val="22"/>
          <w:lang w:val="en-US"/>
        </w:rPr>
        <w:t xml:space="preserve"> nurses</w:t>
      </w:r>
      <w:r w:rsidR="00BF1545">
        <w:rPr>
          <w:rFonts w:asciiTheme="minorHAnsi" w:eastAsia="Arial" w:hAnsiTheme="minorHAnsi" w:cstheme="minorHAnsi"/>
          <w:sz w:val="22"/>
          <w:lang w:val="en-US"/>
        </w:rPr>
        <w:t>, with</w:t>
      </w:r>
      <w:r w:rsidR="00D9089E">
        <w:rPr>
          <w:rFonts w:asciiTheme="minorHAnsi" w:eastAsia="Arial" w:hAnsiTheme="minorHAnsi" w:cstheme="minorHAnsi"/>
          <w:sz w:val="22"/>
          <w:lang w:val="en-US"/>
        </w:rPr>
        <w:t xml:space="preserve"> </w:t>
      </w:r>
      <w:r w:rsidR="009606AA">
        <w:rPr>
          <w:rFonts w:asciiTheme="minorHAnsi" w:eastAsia="Arial" w:hAnsiTheme="minorHAnsi" w:cstheme="minorHAnsi"/>
          <w:sz w:val="22"/>
          <w:lang w:val="en-US"/>
        </w:rPr>
        <w:t xml:space="preserve">15 </w:t>
      </w:r>
      <w:r w:rsidR="00262F01">
        <w:rPr>
          <w:rFonts w:asciiTheme="minorHAnsi" w:eastAsia="Arial" w:hAnsiTheme="minorHAnsi" w:cstheme="minorHAnsi"/>
          <w:sz w:val="22"/>
          <w:lang w:val="en-US"/>
        </w:rPr>
        <w:t xml:space="preserve">international </w:t>
      </w:r>
      <w:r w:rsidR="009606AA">
        <w:rPr>
          <w:rFonts w:asciiTheme="minorHAnsi" w:eastAsia="Arial" w:hAnsiTheme="minorHAnsi" w:cstheme="minorHAnsi"/>
          <w:sz w:val="22"/>
          <w:lang w:val="en-US"/>
        </w:rPr>
        <w:t>nurses</w:t>
      </w:r>
      <w:r w:rsidR="00171D3F">
        <w:rPr>
          <w:rFonts w:asciiTheme="minorHAnsi" w:eastAsia="Arial" w:hAnsiTheme="minorHAnsi" w:cstheme="minorHAnsi"/>
          <w:sz w:val="22"/>
          <w:lang w:val="en-US"/>
        </w:rPr>
        <w:t xml:space="preserve"> now</w:t>
      </w:r>
      <w:r w:rsidR="009606AA">
        <w:rPr>
          <w:rFonts w:asciiTheme="minorHAnsi" w:eastAsia="Arial" w:hAnsiTheme="minorHAnsi" w:cstheme="minorHAnsi"/>
          <w:sz w:val="22"/>
          <w:lang w:val="en-US"/>
        </w:rPr>
        <w:t xml:space="preserve"> within the </w:t>
      </w:r>
      <w:r w:rsidR="00262F01">
        <w:rPr>
          <w:rFonts w:asciiTheme="minorHAnsi" w:eastAsia="Arial" w:hAnsiTheme="minorHAnsi" w:cstheme="minorHAnsi"/>
          <w:sz w:val="22"/>
          <w:lang w:val="en-US"/>
        </w:rPr>
        <w:t>recruit</w:t>
      </w:r>
      <w:r w:rsidR="009606AA">
        <w:rPr>
          <w:rFonts w:asciiTheme="minorHAnsi" w:eastAsia="Arial" w:hAnsiTheme="minorHAnsi" w:cstheme="minorHAnsi"/>
          <w:sz w:val="22"/>
          <w:lang w:val="en-US"/>
        </w:rPr>
        <w:t>ment pipeline</w:t>
      </w:r>
      <w:r w:rsidR="00262F01">
        <w:rPr>
          <w:rFonts w:asciiTheme="minorHAnsi" w:eastAsia="Arial" w:hAnsiTheme="minorHAnsi" w:cstheme="minorHAnsi"/>
          <w:sz w:val="22"/>
          <w:lang w:val="en-US"/>
        </w:rPr>
        <w:t>.</w:t>
      </w:r>
      <w:r w:rsidR="00D9089E">
        <w:rPr>
          <w:rFonts w:asciiTheme="minorHAnsi" w:eastAsia="Arial" w:hAnsiTheme="minorHAnsi" w:cstheme="minorHAnsi"/>
          <w:sz w:val="22"/>
          <w:lang w:val="en-US"/>
        </w:rPr>
        <w:t xml:space="preserve"> </w:t>
      </w:r>
    </w:p>
    <w:p w14:paraId="5B13160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B3C67DB" w14:textId="77777777" w:rsidR="0086568D" w:rsidRDefault="000B1816" w:rsidP="00E64E13">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Safe Staffing Data Analysis </w:t>
      </w:r>
      <w:r w:rsidRPr="000B1816">
        <w:rPr>
          <w:rFonts w:asciiTheme="minorHAnsi" w:eastAsiaTheme="majorEastAsia" w:hAnsiTheme="minorHAnsi" w:cstheme="minorHAnsi"/>
          <w:color w:val="548DD4" w:themeColor="text2" w:themeTint="99"/>
          <w:spacing w:val="-3"/>
          <w:sz w:val="22"/>
        </w:rPr>
        <w:t>and</w:t>
      </w:r>
      <w:r w:rsidRPr="000B1816">
        <w:rPr>
          <w:rFonts w:asciiTheme="minorHAnsi" w:eastAsiaTheme="majorEastAsia" w:hAnsiTheme="minorHAnsi" w:cstheme="minorHAnsi"/>
          <w:color w:val="548DD4" w:themeColor="text2" w:themeTint="99"/>
          <w:spacing w:val="6"/>
          <w:sz w:val="22"/>
        </w:rPr>
        <w:t xml:space="preserve"> </w:t>
      </w:r>
      <w:r w:rsidRPr="000B1816">
        <w:rPr>
          <w:rFonts w:asciiTheme="minorHAnsi" w:eastAsiaTheme="majorEastAsia" w:hAnsiTheme="minorHAnsi" w:cstheme="minorHAnsi"/>
          <w:color w:val="548DD4" w:themeColor="text2" w:themeTint="99"/>
          <w:spacing w:val="10"/>
          <w:sz w:val="22"/>
        </w:rPr>
        <w:t>Findings</w:t>
      </w:r>
    </w:p>
    <w:p w14:paraId="6FD14F32" w14:textId="3F95A735" w:rsidR="000B1816" w:rsidRPr="000B1816" w:rsidRDefault="000B1816" w:rsidP="00E64E13">
      <w:pPr>
        <w:keepNext/>
        <w:keepLines/>
        <w:spacing w:before="220"/>
        <w:contextualSpacing/>
        <w:outlineLvl w:val="1"/>
        <w:rPr>
          <w:rFonts w:asciiTheme="minorHAnsi" w:eastAsiaTheme="majorEastAsia" w:hAnsiTheme="minorHAnsi" w:cstheme="minorHAnsi"/>
          <w:i/>
          <w:iCs/>
          <w:color w:val="548DD4" w:themeColor="text2" w:themeTint="99"/>
          <w:spacing w:val="10"/>
          <w:sz w:val="22"/>
        </w:rPr>
      </w:pPr>
      <w:r w:rsidRPr="000B1816">
        <w:rPr>
          <w:rFonts w:asciiTheme="minorHAnsi" w:eastAsiaTheme="majorEastAsia" w:hAnsiTheme="minorHAnsi" w:cstheme="minorHAnsi"/>
          <w:i/>
          <w:iCs/>
          <w:color w:val="548DD4" w:themeColor="text2" w:themeTint="99"/>
          <w:spacing w:val="10"/>
          <w:sz w:val="22"/>
        </w:rPr>
        <w:t xml:space="preserve"> </w:t>
      </w:r>
    </w:p>
    <w:tbl>
      <w:tblPr>
        <w:tblW w:w="9016" w:type="dxa"/>
        <w:tblLook w:val="04A0" w:firstRow="1" w:lastRow="0" w:firstColumn="1" w:lastColumn="0" w:noHBand="0" w:noVBand="1"/>
      </w:tblPr>
      <w:tblGrid>
        <w:gridCol w:w="1244"/>
        <w:gridCol w:w="3996"/>
        <w:gridCol w:w="992"/>
        <w:gridCol w:w="1418"/>
        <w:gridCol w:w="1366"/>
      </w:tblGrid>
      <w:tr w:rsidR="0086568D" w:rsidRPr="0086568D" w14:paraId="06411191" w14:textId="77777777" w:rsidTr="00A82797">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7E928" w14:textId="77777777" w:rsidR="0086568D" w:rsidRPr="0086568D" w:rsidRDefault="0086568D" w:rsidP="0086568D">
            <w:pPr>
              <w:spacing w:before="0"/>
              <w:jc w:val="center"/>
              <w:rPr>
                <w:rFonts w:ascii="Calibri" w:eastAsia="Times New Roman" w:hAnsi="Calibri" w:cs="Calibri"/>
                <w:b/>
                <w:bCs/>
                <w:color w:val="000000"/>
                <w:sz w:val="22"/>
                <w:lang w:eastAsia="en-GB"/>
              </w:rPr>
            </w:pPr>
            <w:r w:rsidRPr="0086568D">
              <w:rPr>
                <w:rFonts w:ascii="Calibri" w:eastAsia="Times New Roman" w:hAnsi="Calibri" w:cs="Calibri"/>
                <w:b/>
                <w:bCs/>
                <w:color w:val="000000"/>
                <w:sz w:val="22"/>
                <w:lang w:eastAsia="en-GB"/>
              </w:rPr>
              <w:t> </w:t>
            </w:r>
          </w:p>
        </w:tc>
        <w:tc>
          <w:tcPr>
            <w:tcW w:w="3996" w:type="dxa"/>
            <w:tcBorders>
              <w:top w:val="single" w:sz="4" w:space="0" w:color="auto"/>
              <w:left w:val="nil"/>
              <w:bottom w:val="single" w:sz="4" w:space="0" w:color="auto"/>
              <w:right w:val="single" w:sz="4" w:space="0" w:color="auto"/>
            </w:tcBorders>
            <w:shd w:val="clear" w:color="auto" w:fill="auto"/>
            <w:noWrap/>
            <w:vAlign w:val="bottom"/>
            <w:hideMark/>
          </w:tcPr>
          <w:p w14:paraId="4A4857FB" w14:textId="77777777" w:rsidR="0086568D" w:rsidRPr="0086568D" w:rsidRDefault="0086568D" w:rsidP="0086568D">
            <w:pPr>
              <w:spacing w:before="0"/>
              <w:jc w:val="center"/>
              <w:rPr>
                <w:rFonts w:ascii="Calibri" w:eastAsia="Times New Roman" w:hAnsi="Calibri" w:cs="Calibri"/>
                <w:b/>
                <w:bCs/>
                <w:color w:val="000000"/>
                <w:sz w:val="22"/>
                <w:lang w:eastAsia="en-GB"/>
              </w:rPr>
            </w:pPr>
            <w:r w:rsidRPr="0086568D">
              <w:rPr>
                <w:rFonts w:ascii="Calibri" w:eastAsia="Times New Roman" w:hAnsi="Calibri" w:cs="Calibri"/>
                <w:b/>
                <w:bCs/>
                <w:color w:val="000000"/>
                <w:sz w:val="22"/>
                <w:lang w:eastAsia="en-GB"/>
              </w:rPr>
              <w:t>MEASURE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6417B8" w14:textId="77777777" w:rsidR="0086568D" w:rsidRPr="0086568D" w:rsidRDefault="0086568D" w:rsidP="0086568D">
            <w:pPr>
              <w:spacing w:before="0"/>
              <w:jc w:val="center"/>
              <w:rPr>
                <w:rFonts w:ascii="Calibri" w:eastAsia="Times New Roman" w:hAnsi="Calibri" w:cs="Calibri"/>
                <w:b/>
                <w:bCs/>
                <w:color w:val="000000"/>
                <w:sz w:val="22"/>
                <w:lang w:eastAsia="en-GB"/>
              </w:rPr>
            </w:pPr>
            <w:r w:rsidRPr="0086568D">
              <w:rPr>
                <w:rFonts w:ascii="Calibri" w:eastAsia="Times New Roman" w:hAnsi="Calibri" w:cs="Calibri"/>
                <w:b/>
                <w:bCs/>
                <w:color w:val="000000"/>
                <w:sz w:val="22"/>
                <w:lang w:eastAsia="en-GB"/>
              </w:rPr>
              <w:t xml:space="preserve">TARGET </w:t>
            </w:r>
          </w:p>
        </w:tc>
        <w:tc>
          <w:tcPr>
            <w:tcW w:w="1418" w:type="dxa"/>
            <w:tcBorders>
              <w:top w:val="single" w:sz="4" w:space="0" w:color="auto"/>
              <w:left w:val="nil"/>
              <w:bottom w:val="single" w:sz="4" w:space="0" w:color="auto"/>
              <w:right w:val="single" w:sz="4" w:space="0" w:color="auto"/>
            </w:tcBorders>
          </w:tcPr>
          <w:p w14:paraId="1EEECF07" w14:textId="77777777" w:rsidR="0086568D" w:rsidRPr="0086568D" w:rsidRDefault="0086568D" w:rsidP="0086568D">
            <w:pPr>
              <w:spacing w:before="0"/>
              <w:jc w:val="center"/>
              <w:rPr>
                <w:rFonts w:ascii="Calibri" w:eastAsia="Times New Roman" w:hAnsi="Calibri" w:cs="Calibri"/>
                <w:b/>
                <w:bCs/>
                <w:color w:val="000000"/>
                <w:sz w:val="22"/>
                <w:lang w:eastAsia="en-GB"/>
              </w:rPr>
            </w:pPr>
            <w:r w:rsidRPr="0086568D">
              <w:rPr>
                <w:rFonts w:ascii="Calibri" w:eastAsia="Times New Roman" w:hAnsi="Calibri" w:cs="Calibri"/>
                <w:b/>
                <w:bCs/>
                <w:color w:val="000000"/>
                <w:sz w:val="22"/>
                <w:lang w:eastAsia="en-GB"/>
              </w:rPr>
              <w:t xml:space="preserve">July 23 </w:t>
            </w:r>
          </w:p>
        </w:tc>
        <w:tc>
          <w:tcPr>
            <w:tcW w:w="1366" w:type="dxa"/>
            <w:tcBorders>
              <w:top w:val="single" w:sz="4" w:space="0" w:color="auto"/>
              <w:left w:val="nil"/>
              <w:bottom w:val="single" w:sz="4" w:space="0" w:color="auto"/>
              <w:right w:val="single" w:sz="4" w:space="0" w:color="auto"/>
            </w:tcBorders>
          </w:tcPr>
          <w:p w14:paraId="4A890992" w14:textId="77777777" w:rsidR="0086568D" w:rsidRPr="0086568D" w:rsidRDefault="0086568D" w:rsidP="0086568D">
            <w:pPr>
              <w:spacing w:before="0"/>
              <w:jc w:val="center"/>
              <w:rPr>
                <w:rFonts w:ascii="Calibri" w:eastAsia="Times New Roman" w:hAnsi="Calibri" w:cs="Calibri"/>
                <w:b/>
                <w:bCs/>
                <w:color w:val="000000"/>
                <w:sz w:val="22"/>
                <w:lang w:eastAsia="en-GB"/>
              </w:rPr>
            </w:pPr>
            <w:r w:rsidRPr="0086568D">
              <w:rPr>
                <w:rFonts w:ascii="Calibri" w:eastAsia="Times New Roman" w:hAnsi="Calibri" w:cs="Calibri"/>
                <w:b/>
                <w:bCs/>
                <w:color w:val="000000"/>
                <w:sz w:val="22"/>
                <w:lang w:eastAsia="en-GB"/>
              </w:rPr>
              <w:t xml:space="preserve">August 23 </w:t>
            </w:r>
          </w:p>
        </w:tc>
      </w:tr>
      <w:tr w:rsidR="00262F01" w:rsidRPr="0086568D" w14:paraId="4B18F9AC"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94B8DE5"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w:t>
            </w:r>
          </w:p>
        </w:tc>
        <w:tc>
          <w:tcPr>
            <w:tcW w:w="3996" w:type="dxa"/>
            <w:tcBorders>
              <w:top w:val="nil"/>
              <w:left w:val="nil"/>
              <w:bottom w:val="single" w:sz="4" w:space="0" w:color="auto"/>
              <w:right w:val="single" w:sz="4" w:space="0" w:color="auto"/>
            </w:tcBorders>
            <w:shd w:val="clear" w:color="000000" w:fill="C6E0B4"/>
            <w:noWrap/>
            <w:vAlign w:val="bottom"/>
            <w:hideMark/>
          </w:tcPr>
          <w:p w14:paraId="328F2FBB"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CHPPD TRUST </w:t>
            </w:r>
          </w:p>
        </w:tc>
        <w:tc>
          <w:tcPr>
            <w:tcW w:w="992" w:type="dxa"/>
            <w:tcBorders>
              <w:top w:val="nil"/>
              <w:left w:val="nil"/>
              <w:bottom w:val="single" w:sz="4" w:space="0" w:color="auto"/>
              <w:right w:val="single" w:sz="4" w:space="0" w:color="auto"/>
            </w:tcBorders>
            <w:shd w:val="clear" w:color="000000" w:fill="C6E0B4"/>
            <w:noWrap/>
            <w:vAlign w:val="bottom"/>
            <w:hideMark/>
          </w:tcPr>
          <w:p w14:paraId="3A26F2D9" w14:textId="43363DA3" w:rsidR="00262F01" w:rsidRPr="0086568D" w:rsidRDefault="00930CF4" w:rsidP="00262F01">
            <w:pPr>
              <w:spacing w:before="0"/>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No</w:t>
            </w:r>
            <w:r w:rsidR="00262F01" w:rsidRPr="0086568D">
              <w:rPr>
                <w:rFonts w:ascii="Calibri" w:eastAsia="Times New Roman" w:hAnsi="Calibri" w:cs="Calibri"/>
                <w:color w:val="000000"/>
                <w:sz w:val="22"/>
                <w:lang w:eastAsia="en-GB"/>
              </w:rPr>
              <w:t> </w:t>
            </w:r>
          </w:p>
        </w:tc>
        <w:tc>
          <w:tcPr>
            <w:tcW w:w="1418" w:type="dxa"/>
            <w:tcBorders>
              <w:top w:val="nil"/>
              <w:left w:val="nil"/>
              <w:bottom w:val="single" w:sz="4" w:space="0" w:color="auto"/>
              <w:right w:val="single" w:sz="4" w:space="0" w:color="auto"/>
            </w:tcBorders>
          </w:tcPr>
          <w:p w14:paraId="033F477A"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8.8</w:t>
            </w:r>
          </w:p>
        </w:tc>
        <w:tc>
          <w:tcPr>
            <w:tcW w:w="1366" w:type="dxa"/>
            <w:tcBorders>
              <w:top w:val="nil"/>
              <w:left w:val="nil"/>
              <w:bottom w:val="single" w:sz="4" w:space="0" w:color="auto"/>
              <w:right w:val="single" w:sz="4" w:space="0" w:color="auto"/>
            </w:tcBorders>
          </w:tcPr>
          <w:p w14:paraId="2DA5C23A" w14:textId="404FA374"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7.5</w:t>
            </w:r>
          </w:p>
        </w:tc>
      </w:tr>
      <w:tr w:rsidR="00262F01" w:rsidRPr="0086568D" w14:paraId="42C8782F"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82F1AB9"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w:t>
            </w:r>
          </w:p>
        </w:tc>
        <w:tc>
          <w:tcPr>
            <w:tcW w:w="3996" w:type="dxa"/>
            <w:tcBorders>
              <w:top w:val="nil"/>
              <w:left w:val="nil"/>
              <w:bottom w:val="single" w:sz="4" w:space="0" w:color="auto"/>
              <w:right w:val="single" w:sz="4" w:space="0" w:color="auto"/>
            </w:tcBorders>
            <w:shd w:val="clear" w:color="000000" w:fill="C6E0B4"/>
            <w:noWrap/>
            <w:vAlign w:val="bottom"/>
            <w:hideMark/>
          </w:tcPr>
          <w:p w14:paraId="6220D983"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CHPPD MSK </w:t>
            </w:r>
          </w:p>
        </w:tc>
        <w:tc>
          <w:tcPr>
            <w:tcW w:w="992" w:type="dxa"/>
            <w:tcBorders>
              <w:top w:val="nil"/>
              <w:left w:val="nil"/>
              <w:bottom w:val="single" w:sz="4" w:space="0" w:color="auto"/>
              <w:right w:val="single" w:sz="4" w:space="0" w:color="auto"/>
            </w:tcBorders>
            <w:shd w:val="clear" w:color="000000" w:fill="C6E0B4"/>
            <w:noWrap/>
            <w:vAlign w:val="bottom"/>
            <w:hideMark/>
          </w:tcPr>
          <w:p w14:paraId="21455A2C" w14:textId="55BC83FF" w:rsidR="00262F01" w:rsidRPr="0086568D" w:rsidRDefault="00930CF4" w:rsidP="00262F01">
            <w:pPr>
              <w:spacing w:before="0"/>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No</w:t>
            </w:r>
            <w:r w:rsidR="00262F01" w:rsidRPr="0086568D">
              <w:rPr>
                <w:rFonts w:ascii="Calibri" w:eastAsia="Times New Roman" w:hAnsi="Calibri" w:cs="Calibri"/>
                <w:color w:val="000000"/>
                <w:sz w:val="22"/>
                <w:lang w:eastAsia="en-GB"/>
              </w:rPr>
              <w:t> </w:t>
            </w:r>
          </w:p>
        </w:tc>
        <w:tc>
          <w:tcPr>
            <w:tcW w:w="1418" w:type="dxa"/>
            <w:tcBorders>
              <w:top w:val="nil"/>
              <w:left w:val="nil"/>
              <w:bottom w:val="single" w:sz="4" w:space="0" w:color="auto"/>
              <w:right w:val="single" w:sz="4" w:space="0" w:color="auto"/>
            </w:tcBorders>
          </w:tcPr>
          <w:p w14:paraId="7CA10CD1"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8.2</w:t>
            </w:r>
          </w:p>
        </w:tc>
        <w:tc>
          <w:tcPr>
            <w:tcW w:w="1366" w:type="dxa"/>
            <w:tcBorders>
              <w:top w:val="nil"/>
              <w:left w:val="nil"/>
              <w:bottom w:val="single" w:sz="4" w:space="0" w:color="auto"/>
              <w:right w:val="single" w:sz="4" w:space="0" w:color="auto"/>
            </w:tcBorders>
          </w:tcPr>
          <w:p w14:paraId="4975AF07" w14:textId="4A3E5DED"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7.8</w:t>
            </w:r>
          </w:p>
        </w:tc>
      </w:tr>
      <w:tr w:rsidR="00262F01" w:rsidRPr="0086568D" w14:paraId="0AA4807F"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FB77858"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w:t>
            </w:r>
          </w:p>
        </w:tc>
        <w:tc>
          <w:tcPr>
            <w:tcW w:w="3996" w:type="dxa"/>
            <w:tcBorders>
              <w:top w:val="nil"/>
              <w:left w:val="nil"/>
              <w:bottom w:val="single" w:sz="4" w:space="0" w:color="auto"/>
              <w:right w:val="single" w:sz="4" w:space="0" w:color="auto"/>
            </w:tcBorders>
            <w:shd w:val="clear" w:color="000000" w:fill="C6E0B4"/>
            <w:noWrap/>
            <w:vAlign w:val="bottom"/>
            <w:hideMark/>
          </w:tcPr>
          <w:p w14:paraId="5C909691"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CHPPD SPEC</w:t>
            </w:r>
          </w:p>
        </w:tc>
        <w:tc>
          <w:tcPr>
            <w:tcW w:w="992" w:type="dxa"/>
            <w:tcBorders>
              <w:top w:val="nil"/>
              <w:left w:val="nil"/>
              <w:bottom w:val="single" w:sz="4" w:space="0" w:color="auto"/>
              <w:right w:val="single" w:sz="4" w:space="0" w:color="auto"/>
            </w:tcBorders>
            <w:shd w:val="clear" w:color="000000" w:fill="C6E0B4"/>
            <w:noWrap/>
            <w:vAlign w:val="bottom"/>
            <w:hideMark/>
          </w:tcPr>
          <w:p w14:paraId="31ED2745" w14:textId="4C3E7F8F" w:rsidR="00262F01" w:rsidRPr="0086568D" w:rsidRDefault="00930CF4" w:rsidP="00262F01">
            <w:pPr>
              <w:spacing w:before="0"/>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No</w:t>
            </w:r>
            <w:r w:rsidR="00262F01" w:rsidRPr="0086568D">
              <w:rPr>
                <w:rFonts w:ascii="Calibri" w:eastAsia="Times New Roman" w:hAnsi="Calibri" w:cs="Calibri"/>
                <w:color w:val="000000"/>
                <w:sz w:val="22"/>
                <w:lang w:eastAsia="en-GB"/>
              </w:rPr>
              <w:t> </w:t>
            </w:r>
          </w:p>
        </w:tc>
        <w:tc>
          <w:tcPr>
            <w:tcW w:w="1418" w:type="dxa"/>
            <w:tcBorders>
              <w:top w:val="nil"/>
              <w:left w:val="nil"/>
              <w:bottom w:val="single" w:sz="4" w:space="0" w:color="auto"/>
              <w:right w:val="single" w:sz="4" w:space="0" w:color="auto"/>
            </w:tcBorders>
          </w:tcPr>
          <w:p w14:paraId="72085FCD"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9.2</w:t>
            </w:r>
          </w:p>
        </w:tc>
        <w:tc>
          <w:tcPr>
            <w:tcW w:w="1366" w:type="dxa"/>
            <w:tcBorders>
              <w:top w:val="nil"/>
              <w:left w:val="nil"/>
              <w:bottom w:val="single" w:sz="4" w:space="0" w:color="auto"/>
              <w:right w:val="single" w:sz="4" w:space="0" w:color="auto"/>
            </w:tcBorders>
          </w:tcPr>
          <w:p w14:paraId="46501E3A" w14:textId="55A61D32"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7.3</w:t>
            </w:r>
          </w:p>
        </w:tc>
      </w:tr>
      <w:tr w:rsidR="00262F01" w:rsidRPr="0086568D" w14:paraId="27887F21"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3E2516A"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3996" w:type="dxa"/>
            <w:tcBorders>
              <w:top w:val="nil"/>
              <w:left w:val="nil"/>
              <w:bottom w:val="single" w:sz="4" w:space="0" w:color="auto"/>
              <w:right w:val="single" w:sz="4" w:space="0" w:color="auto"/>
            </w:tcBorders>
            <w:shd w:val="clear" w:color="000000" w:fill="B4C6E7"/>
            <w:noWrap/>
            <w:vAlign w:val="bottom"/>
            <w:hideMark/>
          </w:tcPr>
          <w:p w14:paraId="7C5A4212"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2DA5A254"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95%</w:t>
            </w:r>
          </w:p>
        </w:tc>
        <w:tc>
          <w:tcPr>
            <w:tcW w:w="1418" w:type="dxa"/>
            <w:tcBorders>
              <w:top w:val="nil"/>
              <w:left w:val="nil"/>
              <w:bottom w:val="single" w:sz="4" w:space="0" w:color="auto"/>
              <w:right w:val="single" w:sz="4" w:space="0" w:color="auto"/>
            </w:tcBorders>
          </w:tcPr>
          <w:p w14:paraId="465138AC"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100.2%</w:t>
            </w:r>
          </w:p>
        </w:tc>
        <w:tc>
          <w:tcPr>
            <w:tcW w:w="1366" w:type="dxa"/>
            <w:tcBorders>
              <w:top w:val="nil"/>
              <w:left w:val="nil"/>
              <w:bottom w:val="single" w:sz="4" w:space="0" w:color="auto"/>
              <w:right w:val="single" w:sz="4" w:space="0" w:color="auto"/>
            </w:tcBorders>
          </w:tcPr>
          <w:p w14:paraId="34F7F541" w14:textId="60BAE7AC"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98.1%</w:t>
            </w:r>
          </w:p>
        </w:tc>
      </w:tr>
      <w:tr w:rsidR="00262F01" w:rsidRPr="0086568D" w14:paraId="26E6775E"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A81D786"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5</w:t>
            </w:r>
          </w:p>
        </w:tc>
        <w:tc>
          <w:tcPr>
            <w:tcW w:w="3996" w:type="dxa"/>
            <w:tcBorders>
              <w:top w:val="nil"/>
              <w:left w:val="nil"/>
              <w:bottom w:val="single" w:sz="4" w:space="0" w:color="auto"/>
              <w:right w:val="single" w:sz="4" w:space="0" w:color="auto"/>
            </w:tcBorders>
            <w:shd w:val="clear" w:color="000000" w:fill="B4C6E7"/>
            <w:noWrap/>
            <w:vAlign w:val="bottom"/>
            <w:hideMark/>
          </w:tcPr>
          <w:p w14:paraId="223614E9"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UNREGISTERED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0FCCF155"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95%</w:t>
            </w:r>
          </w:p>
        </w:tc>
        <w:tc>
          <w:tcPr>
            <w:tcW w:w="1418" w:type="dxa"/>
            <w:tcBorders>
              <w:top w:val="nil"/>
              <w:left w:val="nil"/>
              <w:bottom w:val="single" w:sz="4" w:space="0" w:color="auto"/>
              <w:right w:val="single" w:sz="4" w:space="0" w:color="auto"/>
            </w:tcBorders>
          </w:tcPr>
          <w:p w14:paraId="445316AE"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112.3%</w:t>
            </w:r>
          </w:p>
        </w:tc>
        <w:tc>
          <w:tcPr>
            <w:tcW w:w="1366" w:type="dxa"/>
            <w:tcBorders>
              <w:top w:val="nil"/>
              <w:left w:val="nil"/>
              <w:bottom w:val="single" w:sz="4" w:space="0" w:color="auto"/>
              <w:right w:val="single" w:sz="4" w:space="0" w:color="auto"/>
            </w:tcBorders>
          </w:tcPr>
          <w:p w14:paraId="4299F205" w14:textId="7D568986"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113.0%</w:t>
            </w:r>
          </w:p>
        </w:tc>
      </w:tr>
      <w:tr w:rsidR="00262F01" w:rsidRPr="0086568D" w14:paraId="21E0E45D"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7E2AE9"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6</w:t>
            </w:r>
          </w:p>
        </w:tc>
        <w:tc>
          <w:tcPr>
            <w:tcW w:w="3996" w:type="dxa"/>
            <w:tcBorders>
              <w:top w:val="nil"/>
              <w:left w:val="nil"/>
              <w:bottom w:val="single" w:sz="4" w:space="0" w:color="auto"/>
              <w:right w:val="single" w:sz="4" w:space="0" w:color="auto"/>
            </w:tcBorders>
            <w:shd w:val="clear" w:color="000000" w:fill="B4C6E7"/>
            <w:noWrap/>
            <w:vAlign w:val="bottom"/>
            <w:hideMark/>
          </w:tcPr>
          <w:p w14:paraId="6D411DB5"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FILL RATES NIGHT TRUST</w:t>
            </w:r>
          </w:p>
        </w:tc>
        <w:tc>
          <w:tcPr>
            <w:tcW w:w="992" w:type="dxa"/>
            <w:tcBorders>
              <w:top w:val="nil"/>
              <w:left w:val="nil"/>
              <w:bottom w:val="single" w:sz="4" w:space="0" w:color="auto"/>
              <w:right w:val="single" w:sz="4" w:space="0" w:color="auto"/>
            </w:tcBorders>
            <w:shd w:val="clear" w:color="000000" w:fill="B4C6E7"/>
            <w:noWrap/>
            <w:vAlign w:val="bottom"/>
            <w:hideMark/>
          </w:tcPr>
          <w:p w14:paraId="761DACB3"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95%</w:t>
            </w:r>
          </w:p>
        </w:tc>
        <w:tc>
          <w:tcPr>
            <w:tcW w:w="1418" w:type="dxa"/>
            <w:tcBorders>
              <w:top w:val="nil"/>
              <w:left w:val="nil"/>
              <w:bottom w:val="single" w:sz="4" w:space="0" w:color="auto"/>
              <w:right w:val="single" w:sz="4" w:space="0" w:color="auto"/>
            </w:tcBorders>
          </w:tcPr>
          <w:p w14:paraId="6B774A48"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103.8%</w:t>
            </w:r>
          </w:p>
        </w:tc>
        <w:tc>
          <w:tcPr>
            <w:tcW w:w="1366" w:type="dxa"/>
            <w:tcBorders>
              <w:top w:val="nil"/>
              <w:left w:val="nil"/>
              <w:bottom w:val="single" w:sz="4" w:space="0" w:color="auto"/>
              <w:right w:val="single" w:sz="4" w:space="0" w:color="auto"/>
            </w:tcBorders>
          </w:tcPr>
          <w:p w14:paraId="5A69A4B7" w14:textId="7BE6C3ED"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102.7%</w:t>
            </w:r>
          </w:p>
        </w:tc>
      </w:tr>
      <w:tr w:rsidR="00262F01" w:rsidRPr="0086568D" w14:paraId="5DA18EF3"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BA57C21"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7</w:t>
            </w:r>
          </w:p>
        </w:tc>
        <w:tc>
          <w:tcPr>
            <w:tcW w:w="3996" w:type="dxa"/>
            <w:tcBorders>
              <w:top w:val="nil"/>
              <w:left w:val="nil"/>
              <w:bottom w:val="single" w:sz="4" w:space="0" w:color="auto"/>
              <w:right w:val="single" w:sz="4" w:space="0" w:color="auto"/>
            </w:tcBorders>
            <w:shd w:val="clear" w:color="000000" w:fill="B4C6E7"/>
            <w:noWrap/>
            <w:vAlign w:val="bottom"/>
            <w:hideMark/>
          </w:tcPr>
          <w:p w14:paraId="2697EE9B" w14:textId="77777777" w:rsidR="00262F01" w:rsidRPr="0086568D" w:rsidRDefault="00262F01" w:rsidP="00262F01">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UNREGISTERED FILL RATES </w:t>
            </w:r>
            <w:proofErr w:type="gramStart"/>
            <w:r w:rsidRPr="0086568D">
              <w:rPr>
                <w:rFonts w:ascii="Calibri" w:eastAsia="Times New Roman" w:hAnsi="Calibri" w:cs="Calibri"/>
                <w:color w:val="000000"/>
                <w:sz w:val="22"/>
                <w:lang w:eastAsia="en-GB"/>
              </w:rPr>
              <w:t>NIGHT  TRUST</w:t>
            </w:r>
            <w:proofErr w:type="gramEnd"/>
          </w:p>
        </w:tc>
        <w:tc>
          <w:tcPr>
            <w:tcW w:w="992" w:type="dxa"/>
            <w:tcBorders>
              <w:top w:val="nil"/>
              <w:left w:val="nil"/>
              <w:bottom w:val="single" w:sz="4" w:space="0" w:color="auto"/>
              <w:right w:val="single" w:sz="4" w:space="0" w:color="auto"/>
            </w:tcBorders>
            <w:shd w:val="clear" w:color="000000" w:fill="B4C6E7"/>
            <w:noWrap/>
            <w:vAlign w:val="bottom"/>
            <w:hideMark/>
          </w:tcPr>
          <w:p w14:paraId="2DA98A60" w14:textId="77777777" w:rsidR="00262F01" w:rsidRPr="0086568D" w:rsidRDefault="00262F01" w:rsidP="00262F01">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95%</w:t>
            </w:r>
          </w:p>
        </w:tc>
        <w:tc>
          <w:tcPr>
            <w:tcW w:w="1418" w:type="dxa"/>
            <w:tcBorders>
              <w:top w:val="nil"/>
              <w:left w:val="nil"/>
              <w:bottom w:val="single" w:sz="4" w:space="0" w:color="auto"/>
              <w:right w:val="single" w:sz="4" w:space="0" w:color="auto"/>
            </w:tcBorders>
          </w:tcPr>
          <w:p w14:paraId="5C2E4516" w14:textId="77777777" w:rsidR="00262F01" w:rsidRPr="0086568D" w:rsidRDefault="00262F01" w:rsidP="00262F01">
            <w:pPr>
              <w:spacing w:before="0"/>
              <w:jc w:val="center"/>
              <w:rPr>
                <w:rFonts w:ascii="Calibri" w:eastAsia="Times New Roman" w:hAnsi="Calibri" w:cs="Calibri"/>
                <w:color w:val="000000"/>
                <w:sz w:val="20"/>
                <w:szCs w:val="20"/>
                <w:lang w:eastAsia="en-GB"/>
              </w:rPr>
            </w:pPr>
            <w:r w:rsidRPr="0086568D">
              <w:rPr>
                <w:rFonts w:ascii="Calibri" w:eastAsia="Times New Roman" w:hAnsi="Calibri" w:cs="Calibri"/>
                <w:sz w:val="22"/>
              </w:rPr>
              <w:t>106.5%</w:t>
            </w:r>
          </w:p>
        </w:tc>
        <w:tc>
          <w:tcPr>
            <w:tcW w:w="1366" w:type="dxa"/>
            <w:tcBorders>
              <w:top w:val="nil"/>
              <w:left w:val="nil"/>
              <w:bottom w:val="single" w:sz="4" w:space="0" w:color="auto"/>
              <w:right w:val="single" w:sz="4" w:space="0" w:color="auto"/>
            </w:tcBorders>
          </w:tcPr>
          <w:p w14:paraId="761D5061" w14:textId="5EF74AD0" w:rsidR="00262F01" w:rsidRPr="0086568D" w:rsidRDefault="00262F01" w:rsidP="00262F01">
            <w:pPr>
              <w:spacing w:before="0"/>
              <w:jc w:val="center"/>
              <w:rPr>
                <w:rFonts w:asciiTheme="minorHAnsi" w:eastAsia="Times New Roman" w:hAnsiTheme="minorHAnsi" w:cstheme="minorHAnsi"/>
                <w:color w:val="000000"/>
                <w:sz w:val="22"/>
                <w:lang w:eastAsia="en-GB"/>
              </w:rPr>
            </w:pPr>
            <w:r w:rsidRPr="00262F01">
              <w:rPr>
                <w:rFonts w:asciiTheme="minorHAnsi" w:hAnsiTheme="minorHAnsi" w:cstheme="minorHAnsi"/>
                <w:sz w:val="22"/>
              </w:rPr>
              <w:t>115.8%</w:t>
            </w:r>
          </w:p>
        </w:tc>
      </w:tr>
      <w:tr w:rsidR="0086568D" w:rsidRPr="0086568D" w14:paraId="5A0901A3"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9F5E7E8"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8</w:t>
            </w:r>
          </w:p>
        </w:tc>
        <w:tc>
          <w:tcPr>
            <w:tcW w:w="3996" w:type="dxa"/>
            <w:tcBorders>
              <w:top w:val="nil"/>
              <w:left w:val="nil"/>
              <w:bottom w:val="single" w:sz="4" w:space="0" w:color="auto"/>
              <w:right w:val="single" w:sz="4" w:space="0" w:color="auto"/>
            </w:tcBorders>
            <w:shd w:val="clear" w:color="000000" w:fill="FFF2CC"/>
            <w:noWrap/>
            <w:vAlign w:val="bottom"/>
            <w:hideMark/>
          </w:tcPr>
          <w:p w14:paraId="09CE6AC7"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4EE3104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77F5937E"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42.61FTE</w:t>
            </w:r>
          </w:p>
        </w:tc>
        <w:tc>
          <w:tcPr>
            <w:tcW w:w="1366" w:type="dxa"/>
            <w:tcBorders>
              <w:top w:val="nil"/>
              <w:left w:val="nil"/>
              <w:bottom w:val="single" w:sz="8" w:space="0" w:color="auto"/>
              <w:right w:val="single" w:sz="8" w:space="0" w:color="auto"/>
            </w:tcBorders>
          </w:tcPr>
          <w:p w14:paraId="23283F16"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40.15FTE</w:t>
            </w:r>
          </w:p>
        </w:tc>
      </w:tr>
      <w:tr w:rsidR="0086568D" w:rsidRPr="0086568D" w14:paraId="78C2E637"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690B178"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9</w:t>
            </w:r>
          </w:p>
        </w:tc>
        <w:tc>
          <w:tcPr>
            <w:tcW w:w="3996" w:type="dxa"/>
            <w:tcBorders>
              <w:top w:val="nil"/>
              <w:left w:val="nil"/>
              <w:bottom w:val="single" w:sz="4" w:space="0" w:color="auto"/>
              <w:right w:val="single" w:sz="4" w:space="0" w:color="auto"/>
            </w:tcBorders>
            <w:shd w:val="clear" w:color="000000" w:fill="FFF2CC"/>
            <w:noWrap/>
            <w:vAlign w:val="bottom"/>
            <w:hideMark/>
          </w:tcPr>
          <w:p w14:paraId="17F5079C"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2E31BC4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4511742B"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18.44FTE</w:t>
            </w:r>
          </w:p>
        </w:tc>
        <w:tc>
          <w:tcPr>
            <w:tcW w:w="1366" w:type="dxa"/>
            <w:tcBorders>
              <w:top w:val="nil"/>
              <w:left w:val="nil"/>
              <w:bottom w:val="single" w:sz="8" w:space="0" w:color="auto"/>
              <w:right w:val="single" w:sz="8" w:space="0" w:color="auto"/>
            </w:tcBorders>
          </w:tcPr>
          <w:p w14:paraId="49A2772D"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23.46FTE</w:t>
            </w:r>
          </w:p>
        </w:tc>
      </w:tr>
      <w:tr w:rsidR="0086568D" w:rsidRPr="0086568D" w14:paraId="58FA2F09"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806C942"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10</w:t>
            </w:r>
          </w:p>
        </w:tc>
        <w:tc>
          <w:tcPr>
            <w:tcW w:w="3996" w:type="dxa"/>
            <w:tcBorders>
              <w:top w:val="nil"/>
              <w:left w:val="nil"/>
              <w:bottom w:val="single" w:sz="4" w:space="0" w:color="auto"/>
              <w:right w:val="single" w:sz="4" w:space="0" w:color="auto"/>
            </w:tcBorders>
            <w:shd w:val="clear" w:color="000000" w:fill="FFF2CC"/>
            <w:noWrap/>
            <w:vAlign w:val="bottom"/>
            <w:hideMark/>
          </w:tcPr>
          <w:p w14:paraId="6763DDCA"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7D406F0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2BF0B89D"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21.02FTE</w:t>
            </w:r>
          </w:p>
        </w:tc>
        <w:tc>
          <w:tcPr>
            <w:tcW w:w="1366" w:type="dxa"/>
            <w:tcBorders>
              <w:top w:val="nil"/>
              <w:left w:val="nil"/>
              <w:bottom w:val="single" w:sz="8" w:space="0" w:color="auto"/>
              <w:right w:val="single" w:sz="8" w:space="0" w:color="auto"/>
            </w:tcBorders>
          </w:tcPr>
          <w:p w14:paraId="4CE71AC1"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19.82FTE</w:t>
            </w:r>
          </w:p>
        </w:tc>
      </w:tr>
      <w:tr w:rsidR="0086568D" w:rsidRPr="0086568D" w14:paraId="74D76CB1"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0EB4CB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11</w:t>
            </w:r>
          </w:p>
        </w:tc>
        <w:tc>
          <w:tcPr>
            <w:tcW w:w="3996" w:type="dxa"/>
            <w:tcBorders>
              <w:top w:val="nil"/>
              <w:left w:val="nil"/>
              <w:bottom w:val="single" w:sz="4" w:space="0" w:color="auto"/>
              <w:right w:val="single" w:sz="4" w:space="0" w:color="auto"/>
            </w:tcBorders>
            <w:shd w:val="clear" w:color="000000" w:fill="FFF2CC"/>
            <w:noWrap/>
            <w:vAlign w:val="bottom"/>
            <w:hideMark/>
          </w:tcPr>
          <w:p w14:paraId="2DEA6677"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1469AB3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34DB0BFE"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11.03FTE</w:t>
            </w:r>
          </w:p>
        </w:tc>
        <w:tc>
          <w:tcPr>
            <w:tcW w:w="1366" w:type="dxa"/>
            <w:tcBorders>
              <w:top w:val="nil"/>
              <w:left w:val="nil"/>
              <w:bottom w:val="single" w:sz="8" w:space="0" w:color="auto"/>
              <w:right w:val="single" w:sz="8" w:space="0" w:color="auto"/>
            </w:tcBorders>
          </w:tcPr>
          <w:p w14:paraId="5267D807"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13.41FTE</w:t>
            </w:r>
          </w:p>
        </w:tc>
      </w:tr>
      <w:tr w:rsidR="0086568D" w:rsidRPr="0086568D" w14:paraId="0D9114B1"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771AE9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12</w:t>
            </w:r>
          </w:p>
        </w:tc>
        <w:tc>
          <w:tcPr>
            <w:tcW w:w="3996" w:type="dxa"/>
            <w:tcBorders>
              <w:top w:val="nil"/>
              <w:left w:val="nil"/>
              <w:bottom w:val="single" w:sz="4" w:space="0" w:color="auto"/>
              <w:right w:val="single" w:sz="4" w:space="0" w:color="auto"/>
            </w:tcBorders>
            <w:shd w:val="clear" w:color="000000" w:fill="FFF2CC"/>
            <w:noWrap/>
            <w:vAlign w:val="bottom"/>
            <w:hideMark/>
          </w:tcPr>
          <w:p w14:paraId="2F430303"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38D75A1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38A8E413"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19.83FTE</w:t>
            </w:r>
          </w:p>
        </w:tc>
        <w:tc>
          <w:tcPr>
            <w:tcW w:w="1366" w:type="dxa"/>
            <w:tcBorders>
              <w:top w:val="nil"/>
              <w:left w:val="nil"/>
              <w:bottom w:val="single" w:sz="8" w:space="0" w:color="auto"/>
              <w:right w:val="single" w:sz="8" w:space="0" w:color="auto"/>
            </w:tcBorders>
          </w:tcPr>
          <w:p w14:paraId="42428910"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19.47FTE</w:t>
            </w:r>
          </w:p>
        </w:tc>
      </w:tr>
      <w:tr w:rsidR="0086568D" w:rsidRPr="0086568D" w14:paraId="116CA164"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1D370AB"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lastRenderedPageBreak/>
              <w:t>13</w:t>
            </w:r>
          </w:p>
        </w:tc>
        <w:tc>
          <w:tcPr>
            <w:tcW w:w="3996" w:type="dxa"/>
            <w:tcBorders>
              <w:top w:val="nil"/>
              <w:left w:val="nil"/>
              <w:bottom w:val="single" w:sz="4" w:space="0" w:color="auto"/>
              <w:right w:val="single" w:sz="4" w:space="0" w:color="auto"/>
            </w:tcBorders>
            <w:shd w:val="clear" w:color="000000" w:fill="FFF2CC"/>
            <w:noWrap/>
            <w:vAlign w:val="bottom"/>
            <w:hideMark/>
          </w:tcPr>
          <w:p w14:paraId="77960398"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5114D64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nil"/>
              <w:left w:val="nil"/>
              <w:bottom w:val="single" w:sz="8" w:space="0" w:color="auto"/>
              <w:right w:val="single" w:sz="8" w:space="0" w:color="auto"/>
            </w:tcBorders>
          </w:tcPr>
          <w:p w14:paraId="276C5528"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8.21FTE</w:t>
            </w:r>
          </w:p>
        </w:tc>
        <w:tc>
          <w:tcPr>
            <w:tcW w:w="1366" w:type="dxa"/>
            <w:tcBorders>
              <w:top w:val="nil"/>
              <w:left w:val="nil"/>
              <w:bottom w:val="single" w:sz="8" w:space="0" w:color="auto"/>
              <w:right w:val="single" w:sz="8" w:space="0" w:color="auto"/>
            </w:tcBorders>
          </w:tcPr>
          <w:p w14:paraId="020B9555"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10.85FTE</w:t>
            </w:r>
          </w:p>
        </w:tc>
      </w:tr>
      <w:tr w:rsidR="0086568D" w:rsidRPr="0086568D" w14:paraId="74091177"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F78460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14</w:t>
            </w:r>
          </w:p>
        </w:tc>
        <w:tc>
          <w:tcPr>
            <w:tcW w:w="3996" w:type="dxa"/>
            <w:tcBorders>
              <w:top w:val="nil"/>
              <w:left w:val="nil"/>
              <w:bottom w:val="single" w:sz="4" w:space="0" w:color="auto"/>
              <w:right w:val="single" w:sz="4" w:space="0" w:color="auto"/>
            </w:tcBorders>
            <w:shd w:val="clear" w:color="000000" w:fill="DAF2F1"/>
            <w:noWrap/>
            <w:vAlign w:val="bottom"/>
            <w:hideMark/>
          </w:tcPr>
          <w:p w14:paraId="142477EE"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5619AE1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32379C64"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5.20%</w:t>
            </w:r>
          </w:p>
        </w:tc>
        <w:tc>
          <w:tcPr>
            <w:tcW w:w="1366" w:type="dxa"/>
            <w:tcBorders>
              <w:top w:val="nil"/>
              <w:left w:val="nil"/>
              <w:bottom w:val="single" w:sz="8" w:space="0" w:color="auto"/>
              <w:right w:val="single" w:sz="8" w:space="0" w:color="auto"/>
            </w:tcBorders>
          </w:tcPr>
          <w:p w14:paraId="1A77767B"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5.49%</w:t>
            </w:r>
          </w:p>
        </w:tc>
      </w:tr>
      <w:tr w:rsidR="0086568D" w:rsidRPr="0086568D" w14:paraId="2BEF0F99"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AEFF8B2"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15</w:t>
            </w:r>
          </w:p>
        </w:tc>
        <w:tc>
          <w:tcPr>
            <w:tcW w:w="3996" w:type="dxa"/>
            <w:tcBorders>
              <w:top w:val="nil"/>
              <w:left w:val="nil"/>
              <w:bottom w:val="single" w:sz="4" w:space="0" w:color="auto"/>
              <w:right w:val="single" w:sz="4" w:space="0" w:color="auto"/>
            </w:tcBorders>
            <w:shd w:val="clear" w:color="000000" w:fill="DAF2F1"/>
            <w:noWrap/>
            <w:vAlign w:val="bottom"/>
            <w:hideMark/>
          </w:tcPr>
          <w:p w14:paraId="03247EE3"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2A24831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55C6AF4D"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8.99%</w:t>
            </w:r>
          </w:p>
        </w:tc>
        <w:tc>
          <w:tcPr>
            <w:tcW w:w="1366" w:type="dxa"/>
            <w:tcBorders>
              <w:top w:val="nil"/>
              <w:left w:val="nil"/>
              <w:bottom w:val="single" w:sz="8" w:space="0" w:color="auto"/>
              <w:right w:val="single" w:sz="8" w:space="0" w:color="auto"/>
            </w:tcBorders>
          </w:tcPr>
          <w:p w14:paraId="423FFD8E"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7.78%</w:t>
            </w:r>
          </w:p>
        </w:tc>
      </w:tr>
      <w:tr w:rsidR="0086568D" w:rsidRPr="0086568D" w14:paraId="1022D171"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D36205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16</w:t>
            </w:r>
          </w:p>
        </w:tc>
        <w:tc>
          <w:tcPr>
            <w:tcW w:w="3996" w:type="dxa"/>
            <w:tcBorders>
              <w:top w:val="nil"/>
              <w:left w:val="nil"/>
              <w:bottom w:val="single" w:sz="4" w:space="0" w:color="auto"/>
              <w:right w:val="single" w:sz="4" w:space="0" w:color="auto"/>
            </w:tcBorders>
            <w:shd w:val="clear" w:color="000000" w:fill="DAF2F1"/>
            <w:noWrap/>
            <w:vAlign w:val="bottom"/>
            <w:hideMark/>
          </w:tcPr>
          <w:p w14:paraId="7083BFE9"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96635B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3127B939"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3.56%</w:t>
            </w:r>
          </w:p>
        </w:tc>
        <w:tc>
          <w:tcPr>
            <w:tcW w:w="1366" w:type="dxa"/>
            <w:tcBorders>
              <w:top w:val="nil"/>
              <w:left w:val="nil"/>
              <w:bottom w:val="single" w:sz="8" w:space="0" w:color="auto"/>
              <w:right w:val="single" w:sz="8" w:space="0" w:color="auto"/>
            </w:tcBorders>
          </w:tcPr>
          <w:p w14:paraId="5BF99054"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4.10%</w:t>
            </w:r>
          </w:p>
        </w:tc>
      </w:tr>
      <w:tr w:rsidR="0086568D" w:rsidRPr="0086568D" w14:paraId="0D43E480"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2C9973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17</w:t>
            </w:r>
          </w:p>
        </w:tc>
        <w:tc>
          <w:tcPr>
            <w:tcW w:w="3996" w:type="dxa"/>
            <w:tcBorders>
              <w:top w:val="nil"/>
              <w:left w:val="nil"/>
              <w:bottom w:val="single" w:sz="4" w:space="0" w:color="auto"/>
              <w:right w:val="single" w:sz="4" w:space="0" w:color="auto"/>
            </w:tcBorders>
            <w:shd w:val="clear" w:color="000000" w:fill="DAF2F1"/>
            <w:noWrap/>
            <w:vAlign w:val="bottom"/>
            <w:hideMark/>
          </w:tcPr>
          <w:p w14:paraId="2ABC1265"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C1A839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7037C61F"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8.74%</w:t>
            </w:r>
          </w:p>
        </w:tc>
        <w:tc>
          <w:tcPr>
            <w:tcW w:w="1366" w:type="dxa"/>
            <w:tcBorders>
              <w:top w:val="nil"/>
              <w:left w:val="nil"/>
              <w:bottom w:val="single" w:sz="8" w:space="0" w:color="auto"/>
              <w:right w:val="single" w:sz="8" w:space="0" w:color="auto"/>
            </w:tcBorders>
          </w:tcPr>
          <w:p w14:paraId="26B873EC"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10.93%</w:t>
            </w:r>
          </w:p>
        </w:tc>
      </w:tr>
      <w:tr w:rsidR="0086568D" w:rsidRPr="0086568D" w14:paraId="348D681F"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0A1CC1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18</w:t>
            </w:r>
          </w:p>
        </w:tc>
        <w:tc>
          <w:tcPr>
            <w:tcW w:w="3996" w:type="dxa"/>
            <w:tcBorders>
              <w:top w:val="nil"/>
              <w:left w:val="nil"/>
              <w:bottom w:val="single" w:sz="4" w:space="0" w:color="auto"/>
              <w:right w:val="single" w:sz="4" w:space="0" w:color="auto"/>
            </w:tcBorders>
            <w:shd w:val="clear" w:color="000000" w:fill="DAF2F1"/>
            <w:noWrap/>
            <w:vAlign w:val="bottom"/>
            <w:hideMark/>
          </w:tcPr>
          <w:p w14:paraId="5A1F0357"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SICKNESS SPEC</w:t>
            </w:r>
          </w:p>
        </w:tc>
        <w:tc>
          <w:tcPr>
            <w:tcW w:w="992" w:type="dxa"/>
            <w:tcBorders>
              <w:top w:val="nil"/>
              <w:left w:val="nil"/>
              <w:bottom w:val="single" w:sz="4" w:space="0" w:color="auto"/>
              <w:right w:val="single" w:sz="4" w:space="0" w:color="auto"/>
            </w:tcBorders>
            <w:shd w:val="clear" w:color="000000" w:fill="DAF2F1"/>
            <w:noWrap/>
            <w:vAlign w:val="center"/>
            <w:hideMark/>
          </w:tcPr>
          <w:p w14:paraId="72D005E8"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317F90C4"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7.71%</w:t>
            </w:r>
          </w:p>
        </w:tc>
        <w:tc>
          <w:tcPr>
            <w:tcW w:w="1366" w:type="dxa"/>
            <w:tcBorders>
              <w:top w:val="nil"/>
              <w:left w:val="nil"/>
              <w:bottom w:val="single" w:sz="8" w:space="0" w:color="auto"/>
              <w:right w:val="single" w:sz="8" w:space="0" w:color="auto"/>
            </w:tcBorders>
          </w:tcPr>
          <w:p w14:paraId="05E16FDF"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7.59%</w:t>
            </w:r>
          </w:p>
        </w:tc>
      </w:tr>
      <w:tr w:rsidR="0086568D" w:rsidRPr="0086568D" w14:paraId="32A7DA26"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FE04A40"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19</w:t>
            </w:r>
          </w:p>
        </w:tc>
        <w:tc>
          <w:tcPr>
            <w:tcW w:w="3996" w:type="dxa"/>
            <w:tcBorders>
              <w:top w:val="nil"/>
              <w:left w:val="nil"/>
              <w:bottom w:val="single" w:sz="4" w:space="0" w:color="auto"/>
              <w:right w:val="single" w:sz="4" w:space="0" w:color="auto"/>
            </w:tcBorders>
            <w:shd w:val="clear" w:color="000000" w:fill="DAF2F1"/>
            <w:noWrap/>
            <w:vAlign w:val="bottom"/>
            <w:hideMark/>
          </w:tcPr>
          <w:p w14:paraId="4A8D3CAF"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HCSW SICKNESS SPEC </w:t>
            </w:r>
          </w:p>
        </w:tc>
        <w:tc>
          <w:tcPr>
            <w:tcW w:w="992" w:type="dxa"/>
            <w:tcBorders>
              <w:top w:val="nil"/>
              <w:left w:val="nil"/>
              <w:bottom w:val="single" w:sz="4" w:space="0" w:color="auto"/>
              <w:right w:val="single" w:sz="4" w:space="0" w:color="auto"/>
            </w:tcBorders>
            <w:shd w:val="clear" w:color="000000" w:fill="DAF2F1"/>
            <w:noWrap/>
            <w:vAlign w:val="center"/>
            <w:hideMark/>
          </w:tcPr>
          <w:p w14:paraId="275DF1B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4%</w:t>
            </w:r>
          </w:p>
        </w:tc>
        <w:tc>
          <w:tcPr>
            <w:tcW w:w="1418" w:type="dxa"/>
            <w:tcBorders>
              <w:top w:val="nil"/>
              <w:left w:val="nil"/>
              <w:bottom w:val="single" w:sz="8" w:space="0" w:color="auto"/>
              <w:right w:val="single" w:sz="8" w:space="0" w:color="auto"/>
            </w:tcBorders>
          </w:tcPr>
          <w:p w14:paraId="5A0E179F" w14:textId="77777777" w:rsidR="0086568D" w:rsidRPr="0086568D" w:rsidRDefault="0086568D" w:rsidP="0086568D">
            <w:pPr>
              <w:spacing w:before="0"/>
              <w:jc w:val="center"/>
              <w:rPr>
                <w:rFonts w:ascii="Calibri" w:eastAsia="Times New Roman" w:hAnsi="Calibri" w:cs="Calibri"/>
                <w:color w:val="000000"/>
                <w:sz w:val="20"/>
                <w:szCs w:val="20"/>
              </w:rPr>
            </w:pPr>
            <w:r w:rsidRPr="0086568D">
              <w:rPr>
                <w:rFonts w:ascii="Calibri" w:eastAsia="Times New Roman" w:hAnsi="Calibri" w:cs="Calibri"/>
                <w:sz w:val="22"/>
              </w:rPr>
              <w:t>9.40%</w:t>
            </w:r>
          </w:p>
        </w:tc>
        <w:tc>
          <w:tcPr>
            <w:tcW w:w="1366" w:type="dxa"/>
            <w:tcBorders>
              <w:top w:val="nil"/>
              <w:left w:val="nil"/>
              <w:bottom w:val="single" w:sz="8" w:space="0" w:color="auto"/>
              <w:right w:val="single" w:sz="8" w:space="0" w:color="auto"/>
            </w:tcBorders>
          </w:tcPr>
          <w:p w14:paraId="69AD266C"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5.02%</w:t>
            </w:r>
          </w:p>
        </w:tc>
      </w:tr>
      <w:tr w:rsidR="0086568D" w:rsidRPr="0086568D" w14:paraId="1AC0DFD8" w14:textId="77777777" w:rsidTr="0086568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C68A04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16</w:t>
            </w:r>
          </w:p>
        </w:tc>
        <w:tc>
          <w:tcPr>
            <w:tcW w:w="3996" w:type="dxa"/>
            <w:tcBorders>
              <w:top w:val="nil"/>
              <w:left w:val="nil"/>
              <w:bottom w:val="single" w:sz="4" w:space="0" w:color="auto"/>
              <w:right w:val="single" w:sz="4" w:space="0" w:color="auto"/>
            </w:tcBorders>
            <w:shd w:val="clear" w:color="auto" w:fill="F7CAAC"/>
            <w:noWrap/>
            <w:vAlign w:val="bottom"/>
            <w:hideMark/>
          </w:tcPr>
          <w:p w14:paraId="04D96750"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Maternity MSK</w:t>
            </w:r>
          </w:p>
        </w:tc>
        <w:tc>
          <w:tcPr>
            <w:tcW w:w="992" w:type="dxa"/>
            <w:tcBorders>
              <w:top w:val="nil"/>
              <w:left w:val="nil"/>
              <w:bottom w:val="single" w:sz="4" w:space="0" w:color="auto"/>
              <w:right w:val="single" w:sz="4" w:space="0" w:color="auto"/>
            </w:tcBorders>
            <w:shd w:val="clear" w:color="auto" w:fill="F7CAAC"/>
            <w:noWrap/>
            <w:vAlign w:val="center"/>
          </w:tcPr>
          <w:p w14:paraId="235D1F70" w14:textId="77777777" w:rsidR="0086568D" w:rsidRPr="0086568D" w:rsidRDefault="0086568D" w:rsidP="0086568D">
            <w:pPr>
              <w:spacing w:before="0"/>
              <w:jc w:val="center"/>
              <w:rPr>
                <w:rFonts w:ascii="Calibri" w:eastAsia="Times New Roman" w:hAnsi="Calibri" w:cs="Calibri"/>
                <w:color w:val="000000"/>
                <w:sz w:val="22"/>
                <w:lang w:eastAsia="en-GB"/>
              </w:rPr>
            </w:pPr>
          </w:p>
        </w:tc>
        <w:tc>
          <w:tcPr>
            <w:tcW w:w="1418" w:type="dxa"/>
            <w:tcBorders>
              <w:top w:val="nil"/>
              <w:left w:val="nil"/>
              <w:bottom w:val="single" w:sz="8" w:space="0" w:color="auto"/>
              <w:right w:val="single" w:sz="8" w:space="0" w:color="auto"/>
            </w:tcBorders>
          </w:tcPr>
          <w:p w14:paraId="468BC814" w14:textId="77777777" w:rsidR="0086568D" w:rsidRPr="0086568D" w:rsidRDefault="0086568D" w:rsidP="0086568D">
            <w:pPr>
              <w:spacing w:before="0"/>
              <w:jc w:val="center"/>
              <w:rPr>
                <w:rFonts w:eastAsia="Times New Roman"/>
                <w:sz w:val="20"/>
                <w:szCs w:val="20"/>
                <w:lang w:eastAsia="en-GB"/>
              </w:rPr>
            </w:pPr>
            <w:r w:rsidRPr="0086568D">
              <w:rPr>
                <w:rFonts w:ascii="Calibri" w:eastAsia="Times New Roman" w:hAnsi="Calibri" w:cs="Calibri"/>
                <w:sz w:val="22"/>
              </w:rPr>
              <w:t>   3.51%</w:t>
            </w:r>
          </w:p>
        </w:tc>
        <w:tc>
          <w:tcPr>
            <w:tcW w:w="1366" w:type="dxa"/>
            <w:tcBorders>
              <w:top w:val="nil"/>
              <w:left w:val="nil"/>
              <w:bottom w:val="single" w:sz="8" w:space="0" w:color="auto"/>
              <w:right w:val="single" w:sz="8" w:space="0" w:color="auto"/>
            </w:tcBorders>
          </w:tcPr>
          <w:p w14:paraId="7B879089"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3.16%</w:t>
            </w:r>
          </w:p>
        </w:tc>
      </w:tr>
      <w:tr w:rsidR="0086568D" w:rsidRPr="0086568D" w14:paraId="08E14A14" w14:textId="77777777" w:rsidTr="0086568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4580F8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17</w:t>
            </w:r>
          </w:p>
        </w:tc>
        <w:tc>
          <w:tcPr>
            <w:tcW w:w="3996" w:type="dxa"/>
            <w:tcBorders>
              <w:top w:val="nil"/>
              <w:left w:val="nil"/>
              <w:bottom w:val="single" w:sz="4" w:space="0" w:color="auto"/>
              <w:right w:val="single" w:sz="4" w:space="0" w:color="auto"/>
            </w:tcBorders>
            <w:shd w:val="clear" w:color="auto" w:fill="F7CAAC"/>
            <w:noWrap/>
            <w:vAlign w:val="bottom"/>
            <w:hideMark/>
          </w:tcPr>
          <w:p w14:paraId="715962E5"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HCSW Maternity MSK</w:t>
            </w:r>
          </w:p>
        </w:tc>
        <w:tc>
          <w:tcPr>
            <w:tcW w:w="992" w:type="dxa"/>
            <w:tcBorders>
              <w:top w:val="nil"/>
              <w:left w:val="nil"/>
              <w:bottom w:val="single" w:sz="4" w:space="0" w:color="auto"/>
              <w:right w:val="single" w:sz="4" w:space="0" w:color="auto"/>
            </w:tcBorders>
            <w:shd w:val="clear" w:color="auto" w:fill="F7CAAC"/>
            <w:noWrap/>
            <w:vAlign w:val="center"/>
          </w:tcPr>
          <w:p w14:paraId="0D33E0E8" w14:textId="77777777" w:rsidR="0086568D" w:rsidRPr="0086568D" w:rsidRDefault="0086568D" w:rsidP="0086568D">
            <w:pPr>
              <w:spacing w:before="0"/>
              <w:jc w:val="center"/>
              <w:rPr>
                <w:rFonts w:ascii="Calibri" w:eastAsia="Times New Roman" w:hAnsi="Calibri" w:cs="Calibri"/>
                <w:color w:val="000000"/>
                <w:sz w:val="22"/>
                <w:lang w:eastAsia="en-GB"/>
              </w:rPr>
            </w:pPr>
          </w:p>
        </w:tc>
        <w:tc>
          <w:tcPr>
            <w:tcW w:w="1418" w:type="dxa"/>
            <w:tcBorders>
              <w:top w:val="nil"/>
              <w:left w:val="nil"/>
              <w:bottom w:val="single" w:sz="8" w:space="0" w:color="auto"/>
              <w:right w:val="single" w:sz="8" w:space="0" w:color="auto"/>
            </w:tcBorders>
          </w:tcPr>
          <w:p w14:paraId="1A47E58C" w14:textId="77777777" w:rsidR="0086568D" w:rsidRPr="0086568D" w:rsidRDefault="0086568D" w:rsidP="0086568D">
            <w:pPr>
              <w:spacing w:before="0"/>
              <w:jc w:val="center"/>
              <w:rPr>
                <w:rFonts w:eastAsia="Times New Roman"/>
                <w:sz w:val="20"/>
                <w:szCs w:val="20"/>
                <w:lang w:eastAsia="en-GB"/>
              </w:rPr>
            </w:pPr>
            <w:r w:rsidRPr="0086568D">
              <w:rPr>
                <w:rFonts w:ascii="Calibri" w:eastAsia="Times New Roman" w:hAnsi="Calibri" w:cs="Calibri"/>
                <w:sz w:val="22"/>
              </w:rPr>
              <w:t>1.13%</w:t>
            </w:r>
          </w:p>
        </w:tc>
        <w:tc>
          <w:tcPr>
            <w:tcW w:w="1366" w:type="dxa"/>
            <w:tcBorders>
              <w:top w:val="nil"/>
              <w:left w:val="nil"/>
              <w:bottom w:val="single" w:sz="8" w:space="0" w:color="auto"/>
              <w:right w:val="single" w:sz="8" w:space="0" w:color="auto"/>
            </w:tcBorders>
          </w:tcPr>
          <w:p w14:paraId="533DE75A"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1.81%</w:t>
            </w:r>
          </w:p>
        </w:tc>
      </w:tr>
      <w:tr w:rsidR="0086568D" w:rsidRPr="0086568D" w14:paraId="167C503C" w14:textId="77777777" w:rsidTr="0086568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5E3A7B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18</w:t>
            </w:r>
          </w:p>
        </w:tc>
        <w:tc>
          <w:tcPr>
            <w:tcW w:w="3996" w:type="dxa"/>
            <w:tcBorders>
              <w:top w:val="nil"/>
              <w:left w:val="nil"/>
              <w:bottom w:val="single" w:sz="4" w:space="0" w:color="auto"/>
              <w:right w:val="single" w:sz="4" w:space="0" w:color="auto"/>
            </w:tcBorders>
            <w:shd w:val="clear" w:color="auto" w:fill="F7CAAC"/>
            <w:noWrap/>
            <w:vAlign w:val="bottom"/>
            <w:hideMark/>
          </w:tcPr>
          <w:p w14:paraId="49A54DFA"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RN MATERNITY SPEC</w:t>
            </w:r>
          </w:p>
        </w:tc>
        <w:tc>
          <w:tcPr>
            <w:tcW w:w="992" w:type="dxa"/>
            <w:tcBorders>
              <w:top w:val="nil"/>
              <w:left w:val="nil"/>
              <w:bottom w:val="single" w:sz="4" w:space="0" w:color="auto"/>
              <w:right w:val="single" w:sz="4" w:space="0" w:color="auto"/>
            </w:tcBorders>
            <w:shd w:val="clear" w:color="auto" w:fill="F7CAAC"/>
            <w:noWrap/>
            <w:vAlign w:val="center"/>
          </w:tcPr>
          <w:p w14:paraId="65AD4264" w14:textId="77777777" w:rsidR="0086568D" w:rsidRPr="0086568D" w:rsidRDefault="0086568D" w:rsidP="0086568D">
            <w:pPr>
              <w:spacing w:before="0"/>
              <w:jc w:val="center"/>
              <w:rPr>
                <w:rFonts w:ascii="Calibri" w:eastAsia="Times New Roman" w:hAnsi="Calibri" w:cs="Calibri"/>
                <w:color w:val="000000"/>
                <w:sz w:val="22"/>
                <w:lang w:eastAsia="en-GB"/>
              </w:rPr>
            </w:pPr>
          </w:p>
        </w:tc>
        <w:tc>
          <w:tcPr>
            <w:tcW w:w="1418" w:type="dxa"/>
            <w:tcBorders>
              <w:top w:val="nil"/>
              <w:left w:val="nil"/>
              <w:bottom w:val="single" w:sz="8" w:space="0" w:color="auto"/>
              <w:right w:val="single" w:sz="8" w:space="0" w:color="auto"/>
            </w:tcBorders>
          </w:tcPr>
          <w:p w14:paraId="42D8D69C" w14:textId="77777777" w:rsidR="0086568D" w:rsidRPr="0086568D" w:rsidRDefault="0086568D" w:rsidP="0086568D">
            <w:pPr>
              <w:spacing w:before="0"/>
              <w:jc w:val="center"/>
              <w:rPr>
                <w:rFonts w:eastAsia="Times New Roman"/>
                <w:sz w:val="20"/>
                <w:szCs w:val="20"/>
                <w:lang w:eastAsia="en-GB"/>
              </w:rPr>
            </w:pPr>
            <w:r w:rsidRPr="0086568D">
              <w:rPr>
                <w:rFonts w:ascii="Calibri" w:eastAsia="Times New Roman" w:hAnsi="Calibri" w:cs="Calibri"/>
                <w:sz w:val="22"/>
              </w:rPr>
              <w:t>3.70%</w:t>
            </w:r>
          </w:p>
        </w:tc>
        <w:tc>
          <w:tcPr>
            <w:tcW w:w="1366" w:type="dxa"/>
            <w:tcBorders>
              <w:top w:val="nil"/>
              <w:left w:val="nil"/>
              <w:bottom w:val="single" w:sz="8" w:space="0" w:color="auto"/>
              <w:right w:val="single" w:sz="8" w:space="0" w:color="auto"/>
            </w:tcBorders>
          </w:tcPr>
          <w:p w14:paraId="13AE082D"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4.40%</w:t>
            </w:r>
          </w:p>
        </w:tc>
      </w:tr>
      <w:tr w:rsidR="0086568D" w:rsidRPr="0086568D" w14:paraId="2B322A15" w14:textId="77777777" w:rsidTr="0086568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A1ED5E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19</w:t>
            </w:r>
          </w:p>
        </w:tc>
        <w:tc>
          <w:tcPr>
            <w:tcW w:w="3996" w:type="dxa"/>
            <w:tcBorders>
              <w:top w:val="nil"/>
              <w:left w:val="nil"/>
              <w:bottom w:val="single" w:sz="4" w:space="0" w:color="auto"/>
              <w:right w:val="single" w:sz="4" w:space="0" w:color="auto"/>
            </w:tcBorders>
            <w:shd w:val="clear" w:color="auto" w:fill="F7CAAC"/>
            <w:noWrap/>
            <w:vAlign w:val="bottom"/>
            <w:hideMark/>
          </w:tcPr>
          <w:p w14:paraId="4BFFE889"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HCSW </w:t>
            </w:r>
            <w:proofErr w:type="spellStart"/>
            <w:r w:rsidRPr="0086568D">
              <w:rPr>
                <w:rFonts w:ascii="Calibri" w:eastAsia="Times New Roman" w:hAnsi="Calibri" w:cs="Calibri"/>
                <w:color w:val="000000"/>
                <w:sz w:val="22"/>
                <w:lang w:eastAsia="en-GB"/>
              </w:rPr>
              <w:t>MaternitySPEC</w:t>
            </w:r>
            <w:proofErr w:type="spellEnd"/>
            <w:r w:rsidRPr="0086568D">
              <w:rPr>
                <w:rFonts w:ascii="Calibri" w:eastAsia="Times New Roman" w:hAnsi="Calibri" w:cs="Calibri"/>
                <w:color w:val="000000"/>
                <w:sz w:val="22"/>
                <w:lang w:eastAsia="en-GB"/>
              </w:rPr>
              <w:t xml:space="preserve"> </w:t>
            </w:r>
          </w:p>
        </w:tc>
        <w:tc>
          <w:tcPr>
            <w:tcW w:w="992" w:type="dxa"/>
            <w:tcBorders>
              <w:top w:val="nil"/>
              <w:left w:val="nil"/>
              <w:bottom w:val="single" w:sz="4" w:space="0" w:color="auto"/>
              <w:right w:val="single" w:sz="4" w:space="0" w:color="auto"/>
            </w:tcBorders>
            <w:shd w:val="clear" w:color="auto" w:fill="F7CAAC"/>
            <w:noWrap/>
            <w:vAlign w:val="center"/>
          </w:tcPr>
          <w:p w14:paraId="3388BAC5" w14:textId="77777777" w:rsidR="0086568D" w:rsidRPr="0086568D" w:rsidRDefault="0086568D" w:rsidP="0086568D">
            <w:pPr>
              <w:spacing w:before="0"/>
              <w:jc w:val="center"/>
              <w:rPr>
                <w:rFonts w:ascii="Calibri" w:eastAsia="Times New Roman" w:hAnsi="Calibri" w:cs="Calibri"/>
                <w:color w:val="000000"/>
                <w:sz w:val="22"/>
                <w:lang w:eastAsia="en-GB"/>
              </w:rPr>
            </w:pPr>
          </w:p>
        </w:tc>
        <w:tc>
          <w:tcPr>
            <w:tcW w:w="1418" w:type="dxa"/>
            <w:tcBorders>
              <w:top w:val="nil"/>
              <w:left w:val="nil"/>
              <w:bottom w:val="single" w:sz="8" w:space="0" w:color="auto"/>
              <w:right w:val="single" w:sz="8" w:space="0" w:color="auto"/>
            </w:tcBorders>
          </w:tcPr>
          <w:p w14:paraId="1F71D9BB" w14:textId="77777777" w:rsidR="0086568D" w:rsidRPr="0086568D" w:rsidRDefault="0086568D" w:rsidP="0086568D">
            <w:pPr>
              <w:spacing w:before="0"/>
              <w:jc w:val="center"/>
              <w:rPr>
                <w:rFonts w:eastAsia="Times New Roman"/>
                <w:sz w:val="20"/>
                <w:szCs w:val="20"/>
                <w:lang w:eastAsia="en-GB"/>
              </w:rPr>
            </w:pPr>
            <w:r w:rsidRPr="0086568D">
              <w:rPr>
                <w:rFonts w:ascii="Calibri" w:eastAsia="Times New Roman" w:hAnsi="Calibri" w:cs="Calibri"/>
                <w:sz w:val="22"/>
              </w:rPr>
              <w:t>1.06%</w:t>
            </w:r>
          </w:p>
        </w:tc>
        <w:tc>
          <w:tcPr>
            <w:tcW w:w="1366" w:type="dxa"/>
            <w:tcBorders>
              <w:top w:val="nil"/>
              <w:left w:val="nil"/>
              <w:bottom w:val="single" w:sz="8" w:space="0" w:color="auto"/>
              <w:right w:val="single" w:sz="8" w:space="0" w:color="auto"/>
            </w:tcBorders>
          </w:tcPr>
          <w:p w14:paraId="6DBA9D51" w14:textId="77777777" w:rsidR="0086568D" w:rsidRPr="0086568D" w:rsidRDefault="0086568D" w:rsidP="0086568D">
            <w:pPr>
              <w:spacing w:before="0"/>
              <w:jc w:val="center"/>
              <w:rPr>
                <w:rFonts w:ascii="Calibri" w:eastAsia="Times New Roman" w:hAnsi="Calibri" w:cs="Calibri"/>
                <w:sz w:val="22"/>
                <w:lang w:eastAsia="en-GB"/>
              </w:rPr>
            </w:pPr>
            <w:r w:rsidRPr="0086568D">
              <w:rPr>
                <w:rFonts w:ascii="Calibri" w:eastAsia="Times New Roman" w:hAnsi="Calibri" w:cs="Calibri"/>
                <w:sz w:val="22"/>
              </w:rPr>
              <w:t>1.05%</w:t>
            </w:r>
          </w:p>
        </w:tc>
      </w:tr>
      <w:tr w:rsidR="0086568D" w:rsidRPr="0086568D" w14:paraId="1345F1A0"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E8532A2"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20</w:t>
            </w:r>
          </w:p>
        </w:tc>
        <w:tc>
          <w:tcPr>
            <w:tcW w:w="3996" w:type="dxa"/>
            <w:tcBorders>
              <w:top w:val="nil"/>
              <w:left w:val="nil"/>
              <w:bottom w:val="single" w:sz="4" w:space="0" w:color="auto"/>
              <w:right w:val="single" w:sz="4" w:space="0" w:color="auto"/>
            </w:tcBorders>
            <w:shd w:val="clear" w:color="000000" w:fill="D9D9D9"/>
            <w:noWrap/>
            <w:vAlign w:val="bottom"/>
            <w:hideMark/>
          </w:tcPr>
          <w:p w14:paraId="16F443E0"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AGENCY SPEND RN MSK </w:t>
            </w:r>
          </w:p>
        </w:tc>
        <w:tc>
          <w:tcPr>
            <w:tcW w:w="992" w:type="dxa"/>
            <w:tcBorders>
              <w:top w:val="nil"/>
              <w:left w:val="nil"/>
              <w:bottom w:val="single" w:sz="4" w:space="0" w:color="auto"/>
              <w:right w:val="single" w:sz="4" w:space="0" w:color="auto"/>
            </w:tcBorders>
            <w:shd w:val="clear" w:color="000000" w:fill="D9D9D9"/>
            <w:noWrap/>
            <w:vAlign w:val="bottom"/>
            <w:hideMark/>
          </w:tcPr>
          <w:p w14:paraId="33DCA5BE"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32CF3ACC" w14:textId="77777777" w:rsidR="0086568D" w:rsidRPr="0086568D" w:rsidRDefault="0086568D" w:rsidP="0086568D">
            <w:pPr>
              <w:spacing w:before="0"/>
              <w:jc w:val="center"/>
              <w:rPr>
                <w:rFonts w:eastAsia="Times New Roman"/>
                <w:sz w:val="22"/>
                <w:lang w:eastAsia="en-GB"/>
              </w:rPr>
            </w:pPr>
            <w:r w:rsidRPr="0086568D">
              <w:rPr>
                <w:rFonts w:ascii="Calibri" w:eastAsia="Times New Roman" w:hAnsi="Calibri" w:cs="Calibri"/>
                <w:sz w:val="22"/>
                <w:lang w:eastAsia="en-GB"/>
              </w:rPr>
              <w:t>£56,382</w:t>
            </w:r>
          </w:p>
        </w:tc>
        <w:tc>
          <w:tcPr>
            <w:tcW w:w="1366" w:type="dxa"/>
            <w:tcBorders>
              <w:top w:val="nil"/>
              <w:left w:val="nil"/>
              <w:bottom w:val="single" w:sz="8" w:space="0" w:color="auto"/>
              <w:right w:val="single" w:sz="8" w:space="0" w:color="auto"/>
            </w:tcBorders>
          </w:tcPr>
          <w:p w14:paraId="530F769B" w14:textId="51E7CD03" w:rsidR="0086568D" w:rsidRPr="0086568D" w:rsidRDefault="0086568D" w:rsidP="0086568D">
            <w:pPr>
              <w:spacing w:before="0"/>
              <w:jc w:val="cente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£39,468</w:t>
            </w:r>
          </w:p>
        </w:tc>
      </w:tr>
      <w:tr w:rsidR="0086568D" w:rsidRPr="0086568D" w14:paraId="0F72572D"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D534E6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21</w:t>
            </w:r>
          </w:p>
        </w:tc>
        <w:tc>
          <w:tcPr>
            <w:tcW w:w="3996" w:type="dxa"/>
            <w:tcBorders>
              <w:top w:val="nil"/>
              <w:left w:val="nil"/>
              <w:bottom w:val="single" w:sz="4" w:space="0" w:color="auto"/>
              <w:right w:val="single" w:sz="4" w:space="0" w:color="auto"/>
            </w:tcBorders>
            <w:shd w:val="clear" w:color="000000" w:fill="D9D9D9"/>
            <w:noWrap/>
            <w:vAlign w:val="bottom"/>
            <w:hideMark/>
          </w:tcPr>
          <w:p w14:paraId="7FF2D579"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AGENCY SPEND HCSW MSK </w:t>
            </w:r>
          </w:p>
        </w:tc>
        <w:tc>
          <w:tcPr>
            <w:tcW w:w="992" w:type="dxa"/>
            <w:tcBorders>
              <w:top w:val="nil"/>
              <w:left w:val="nil"/>
              <w:bottom w:val="single" w:sz="4" w:space="0" w:color="auto"/>
              <w:right w:val="single" w:sz="4" w:space="0" w:color="auto"/>
            </w:tcBorders>
            <w:shd w:val="clear" w:color="000000" w:fill="D9D9D9"/>
            <w:noWrap/>
            <w:vAlign w:val="bottom"/>
            <w:hideMark/>
          </w:tcPr>
          <w:p w14:paraId="21F4751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3A3C25F5" w14:textId="77777777" w:rsidR="0086568D" w:rsidRPr="0086568D" w:rsidRDefault="0086568D" w:rsidP="0086568D">
            <w:pPr>
              <w:spacing w:before="0"/>
              <w:jc w:val="center"/>
              <w:rPr>
                <w:rFonts w:eastAsia="Times New Roman"/>
                <w:sz w:val="22"/>
                <w:lang w:eastAsia="en-GB"/>
              </w:rPr>
            </w:pPr>
            <w:r w:rsidRPr="0086568D">
              <w:rPr>
                <w:rFonts w:ascii="Calibri" w:eastAsia="Times New Roman" w:hAnsi="Calibri" w:cs="Calibri"/>
                <w:sz w:val="22"/>
                <w:lang w:eastAsia="en-GB"/>
              </w:rPr>
              <w:t>£285</w:t>
            </w:r>
          </w:p>
        </w:tc>
        <w:tc>
          <w:tcPr>
            <w:tcW w:w="1366" w:type="dxa"/>
            <w:tcBorders>
              <w:top w:val="nil"/>
              <w:left w:val="nil"/>
              <w:bottom w:val="single" w:sz="8" w:space="0" w:color="auto"/>
              <w:right w:val="single" w:sz="8" w:space="0" w:color="auto"/>
            </w:tcBorders>
          </w:tcPr>
          <w:p w14:paraId="3088E97E" w14:textId="756F6EB0" w:rsidR="0086568D" w:rsidRPr="0086568D" w:rsidRDefault="0086568D" w:rsidP="0086568D">
            <w:pPr>
              <w:spacing w:before="0"/>
              <w:jc w:val="cente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-£56</w:t>
            </w:r>
          </w:p>
        </w:tc>
      </w:tr>
      <w:tr w:rsidR="0086568D" w:rsidRPr="0086568D" w14:paraId="55D8741D"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87090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22</w:t>
            </w:r>
          </w:p>
        </w:tc>
        <w:tc>
          <w:tcPr>
            <w:tcW w:w="3996" w:type="dxa"/>
            <w:tcBorders>
              <w:top w:val="nil"/>
              <w:left w:val="nil"/>
              <w:bottom w:val="single" w:sz="4" w:space="0" w:color="auto"/>
              <w:right w:val="single" w:sz="4" w:space="0" w:color="auto"/>
            </w:tcBorders>
            <w:shd w:val="clear" w:color="000000" w:fill="D9D9D9"/>
            <w:noWrap/>
            <w:vAlign w:val="bottom"/>
            <w:hideMark/>
          </w:tcPr>
          <w:p w14:paraId="477132EB"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AGENCY SPEND RN SPEC</w:t>
            </w:r>
          </w:p>
        </w:tc>
        <w:tc>
          <w:tcPr>
            <w:tcW w:w="992" w:type="dxa"/>
            <w:tcBorders>
              <w:top w:val="nil"/>
              <w:left w:val="nil"/>
              <w:bottom w:val="single" w:sz="4" w:space="0" w:color="auto"/>
              <w:right w:val="single" w:sz="4" w:space="0" w:color="auto"/>
            </w:tcBorders>
            <w:shd w:val="clear" w:color="000000" w:fill="D9D9D9"/>
            <w:noWrap/>
            <w:vAlign w:val="bottom"/>
            <w:hideMark/>
          </w:tcPr>
          <w:p w14:paraId="5CBB4D1E"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188A5962" w14:textId="77777777" w:rsidR="0086568D" w:rsidRPr="0086568D" w:rsidRDefault="0086568D" w:rsidP="0086568D">
            <w:pPr>
              <w:spacing w:before="0"/>
              <w:jc w:val="center"/>
              <w:rPr>
                <w:rFonts w:eastAsia="Times New Roman"/>
                <w:sz w:val="22"/>
                <w:lang w:eastAsia="en-GB"/>
              </w:rPr>
            </w:pPr>
            <w:r w:rsidRPr="0086568D">
              <w:rPr>
                <w:rFonts w:ascii="Calibri" w:eastAsia="Times New Roman" w:hAnsi="Calibri" w:cs="Calibri"/>
                <w:sz w:val="22"/>
                <w:lang w:eastAsia="en-GB"/>
              </w:rPr>
              <w:t>£134,910</w:t>
            </w:r>
          </w:p>
        </w:tc>
        <w:tc>
          <w:tcPr>
            <w:tcW w:w="1366" w:type="dxa"/>
            <w:tcBorders>
              <w:top w:val="nil"/>
              <w:left w:val="nil"/>
              <w:bottom w:val="single" w:sz="8" w:space="0" w:color="auto"/>
              <w:right w:val="single" w:sz="8" w:space="0" w:color="auto"/>
            </w:tcBorders>
          </w:tcPr>
          <w:p w14:paraId="0E93C425" w14:textId="5494A113" w:rsidR="0086568D" w:rsidRPr="0086568D" w:rsidRDefault="0086568D" w:rsidP="0086568D">
            <w:pPr>
              <w:spacing w:before="0"/>
              <w:jc w:val="cente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£125,402</w:t>
            </w:r>
          </w:p>
        </w:tc>
      </w:tr>
      <w:tr w:rsidR="0086568D" w:rsidRPr="0086568D" w14:paraId="180483DF"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BEB70F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23</w:t>
            </w:r>
          </w:p>
        </w:tc>
        <w:tc>
          <w:tcPr>
            <w:tcW w:w="3996" w:type="dxa"/>
            <w:tcBorders>
              <w:top w:val="nil"/>
              <w:left w:val="nil"/>
              <w:bottom w:val="single" w:sz="4" w:space="0" w:color="auto"/>
              <w:right w:val="single" w:sz="4" w:space="0" w:color="auto"/>
            </w:tcBorders>
            <w:shd w:val="clear" w:color="000000" w:fill="D9D9D9"/>
            <w:noWrap/>
            <w:vAlign w:val="bottom"/>
            <w:hideMark/>
          </w:tcPr>
          <w:p w14:paraId="4259E4A3"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AGENCY SPEND HCSW SPEC</w:t>
            </w:r>
          </w:p>
        </w:tc>
        <w:tc>
          <w:tcPr>
            <w:tcW w:w="992" w:type="dxa"/>
            <w:tcBorders>
              <w:top w:val="nil"/>
              <w:left w:val="nil"/>
              <w:bottom w:val="single" w:sz="4" w:space="0" w:color="auto"/>
              <w:right w:val="single" w:sz="4" w:space="0" w:color="auto"/>
            </w:tcBorders>
            <w:shd w:val="clear" w:color="000000" w:fill="D9D9D9"/>
            <w:noWrap/>
            <w:vAlign w:val="bottom"/>
            <w:hideMark/>
          </w:tcPr>
          <w:p w14:paraId="0DA5158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11370355" w14:textId="77777777" w:rsidR="0086568D" w:rsidRPr="0086568D" w:rsidRDefault="0086568D" w:rsidP="0086568D">
            <w:pPr>
              <w:spacing w:before="0"/>
              <w:jc w:val="center"/>
              <w:rPr>
                <w:rFonts w:eastAsia="Times New Roman"/>
                <w:sz w:val="22"/>
                <w:lang w:eastAsia="en-GB"/>
              </w:rPr>
            </w:pPr>
            <w:r w:rsidRPr="0086568D">
              <w:rPr>
                <w:rFonts w:ascii="Calibri" w:eastAsia="Times New Roman" w:hAnsi="Calibri" w:cs="Calibri"/>
                <w:sz w:val="22"/>
                <w:lang w:eastAsia="en-GB"/>
              </w:rPr>
              <w:t>£261</w:t>
            </w:r>
          </w:p>
        </w:tc>
        <w:tc>
          <w:tcPr>
            <w:tcW w:w="1366" w:type="dxa"/>
            <w:tcBorders>
              <w:top w:val="nil"/>
              <w:left w:val="nil"/>
              <w:bottom w:val="single" w:sz="8" w:space="0" w:color="auto"/>
              <w:right w:val="single" w:sz="8" w:space="0" w:color="auto"/>
            </w:tcBorders>
          </w:tcPr>
          <w:p w14:paraId="068784F6" w14:textId="125A5D0D" w:rsidR="0086568D" w:rsidRPr="0086568D" w:rsidRDefault="0086568D" w:rsidP="0086568D">
            <w:pPr>
              <w:spacing w:before="0"/>
              <w:jc w:val="center"/>
              <w:rPr>
                <w:rFonts w:asciiTheme="minorHAnsi" w:eastAsia="Times New Roman" w:hAnsiTheme="minorHAnsi" w:cstheme="minorHAnsi"/>
                <w:sz w:val="22"/>
                <w:lang w:eastAsia="en-GB"/>
              </w:rPr>
            </w:pPr>
            <w:r>
              <w:rPr>
                <w:rFonts w:asciiTheme="minorHAnsi" w:eastAsia="Times New Roman" w:hAnsiTheme="minorHAnsi" w:cstheme="minorHAnsi"/>
                <w:sz w:val="22"/>
                <w:lang w:eastAsia="en-GB"/>
              </w:rPr>
              <w:t>-£0</w:t>
            </w:r>
          </w:p>
        </w:tc>
      </w:tr>
      <w:tr w:rsidR="0086568D" w:rsidRPr="0086568D" w14:paraId="492D2A6A"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043C5D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24</w:t>
            </w:r>
          </w:p>
        </w:tc>
        <w:tc>
          <w:tcPr>
            <w:tcW w:w="3996" w:type="dxa"/>
            <w:tcBorders>
              <w:top w:val="nil"/>
              <w:left w:val="nil"/>
              <w:bottom w:val="single" w:sz="4" w:space="0" w:color="auto"/>
              <w:right w:val="single" w:sz="4" w:space="0" w:color="auto"/>
            </w:tcBorders>
            <w:shd w:val="clear" w:color="000000" w:fill="FF9999"/>
            <w:noWrap/>
            <w:vAlign w:val="bottom"/>
            <w:hideMark/>
          </w:tcPr>
          <w:p w14:paraId="4308F1E4"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OPEN RED FLAGS PER MONTH MSK</w:t>
            </w:r>
          </w:p>
        </w:tc>
        <w:tc>
          <w:tcPr>
            <w:tcW w:w="992" w:type="dxa"/>
            <w:tcBorders>
              <w:top w:val="nil"/>
              <w:left w:val="nil"/>
              <w:bottom w:val="single" w:sz="4" w:space="0" w:color="auto"/>
              <w:right w:val="single" w:sz="4" w:space="0" w:color="auto"/>
            </w:tcBorders>
            <w:shd w:val="clear" w:color="000000" w:fill="FF9999"/>
            <w:noWrap/>
            <w:vAlign w:val="bottom"/>
            <w:hideMark/>
          </w:tcPr>
          <w:p w14:paraId="4934812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7E4CC9A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366" w:type="dxa"/>
            <w:tcBorders>
              <w:top w:val="single" w:sz="4" w:space="0" w:color="auto"/>
              <w:left w:val="nil"/>
              <w:bottom w:val="single" w:sz="4" w:space="0" w:color="auto"/>
              <w:right w:val="single" w:sz="4" w:space="0" w:color="auto"/>
            </w:tcBorders>
          </w:tcPr>
          <w:p w14:paraId="62E0125B" w14:textId="089BFEAE" w:rsidR="0086568D" w:rsidRPr="0086568D" w:rsidRDefault="0086568D" w:rsidP="0086568D">
            <w:pPr>
              <w:spacing w:before="0"/>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0</w:t>
            </w:r>
          </w:p>
        </w:tc>
      </w:tr>
      <w:tr w:rsidR="0086568D" w:rsidRPr="0086568D" w14:paraId="28BD5DEC"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4C0F9E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25</w:t>
            </w:r>
          </w:p>
        </w:tc>
        <w:tc>
          <w:tcPr>
            <w:tcW w:w="3996" w:type="dxa"/>
            <w:tcBorders>
              <w:top w:val="nil"/>
              <w:left w:val="nil"/>
              <w:bottom w:val="single" w:sz="4" w:space="0" w:color="auto"/>
              <w:right w:val="single" w:sz="4" w:space="0" w:color="auto"/>
            </w:tcBorders>
            <w:shd w:val="clear" w:color="000000" w:fill="FF9999"/>
            <w:noWrap/>
            <w:vAlign w:val="bottom"/>
            <w:hideMark/>
          </w:tcPr>
          <w:p w14:paraId="5A40D5A2"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OPEN RED FLAGS PER MONTH SPEC</w:t>
            </w:r>
          </w:p>
        </w:tc>
        <w:tc>
          <w:tcPr>
            <w:tcW w:w="992" w:type="dxa"/>
            <w:tcBorders>
              <w:top w:val="nil"/>
              <w:left w:val="nil"/>
              <w:bottom w:val="single" w:sz="4" w:space="0" w:color="auto"/>
              <w:right w:val="single" w:sz="4" w:space="0" w:color="auto"/>
            </w:tcBorders>
            <w:shd w:val="clear" w:color="000000" w:fill="FF9999"/>
            <w:noWrap/>
            <w:vAlign w:val="bottom"/>
            <w:hideMark/>
          </w:tcPr>
          <w:p w14:paraId="04508E3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216C3F6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1</w:t>
            </w:r>
          </w:p>
        </w:tc>
        <w:tc>
          <w:tcPr>
            <w:tcW w:w="1366" w:type="dxa"/>
            <w:tcBorders>
              <w:top w:val="single" w:sz="4" w:space="0" w:color="auto"/>
              <w:left w:val="nil"/>
              <w:bottom w:val="single" w:sz="4" w:space="0" w:color="auto"/>
              <w:right w:val="single" w:sz="4" w:space="0" w:color="auto"/>
            </w:tcBorders>
          </w:tcPr>
          <w:p w14:paraId="50C82196" w14:textId="14B07D13" w:rsidR="0086568D" w:rsidRPr="0086568D" w:rsidRDefault="00930CF4" w:rsidP="0086568D">
            <w:pPr>
              <w:spacing w:before="0"/>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0</w:t>
            </w:r>
          </w:p>
        </w:tc>
      </w:tr>
      <w:tr w:rsidR="0086568D" w:rsidRPr="0086568D" w14:paraId="3B2C237F"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3C8E5D4"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26</w:t>
            </w:r>
          </w:p>
        </w:tc>
        <w:tc>
          <w:tcPr>
            <w:tcW w:w="3996" w:type="dxa"/>
            <w:tcBorders>
              <w:top w:val="nil"/>
              <w:left w:val="nil"/>
              <w:bottom w:val="single" w:sz="4" w:space="0" w:color="auto"/>
              <w:right w:val="single" w:sz="4" w:space="0" w:color="auto"/>
            </w:tcBorders>
            <w:shd w:val="clear" w:color="000000" w:fill="CFAFE7"/>
            <w:noWrap/>
            <w:vAlign w:val="bottom"/>
            <w:hideMark/>
          </w:tcPr>
          <w:p w14:paraId="4D25A73E"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FALLS MSK</w:t>
            </w:r>
          </w:p>
        </w:tc>
        <w:tc>
          <w:tcPr>
            <w:tcW w:w="992" w:type="dxa"/>
            <w:tcBorders>
              <w:top w:val="nil"/>
              <w:left w:val="nil"/>
              <w:bottom w:val="single" w:sz="4" w:space="0" w:color="auto"/>
              <w:right w:val="single" w:sz="4" w:space="0" w:color="auto"/>
            </w:tcBorders>
            <w:shd w:val="clear" w:color="000000" w:fill="CFAFE7"/>
            <w:noWrap/>
            <w:vAlign w:val="bottom"/>
            <w:hideMark/>
          </w:tcPr>
          <w:p w14:paraId="388DDC5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354A3E16"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6</w:t>
            </w:r>
          </w:p>
        </w:tc>
        <w:tc>
          <w:tcPr>
            <w:tcW w:w="1366" w:type="dxa"/>
            <w:tcBorders>
              <w:top w:val="nil"/>
              <w:left w:val="nil"/>
              <w:bottom w:val="single" w:sz="8" w:space="0" w:color="auto"/>
              <w:right w:val="single" w:sz="8" w:space="0" w:color="auto"/>
            </w:tcBorders>
          </w:tcPr>
          <w:p w14:paraId="7C3C94FA"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7</w:t>
            </w:r>
          </w:p>
        </w:tc>
      </w:tr>
      <w:tr w:rsidR="0086568D" w:rsidRPr="0086568D" w14:paraId="262A3E3E"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75A8F8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27</w:t>
            </w:r>
          </w:p>
        </w:tc>
        <w:tc>
          <w:tcPr>
            <w:tcW w:w="3996" w:type="dxa"/>
            <w:tcBorders>
              <w:top w:val="nil"/>
              <w:left w:val="nil"/>
              <w:bottom w:val="single" w:sz="4" w:space="0" w:color="auto"/>
              <w:right w:val="single" w:sz="4" w:space="0" w:color="auto"/>
            </w:tcBorders>
            <w:shd w:val="clear" w:color="000000" w:fill="CFAFE7"/>
            <w:noWrap/>
            <w:vAlign w:val="bottom"/>
            <w:hideMark/>
          </w:tcPr>
          <w:p w14:paraId="584150C9"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FALLS SPEC</w:t>
            </w:r>
          </w:p>
        </w:tc>
        <w:tc>
          <w:tcPr>
            <w:tcW w:w="992" w:type="dxa"/>
            <w:tcBorders>
              <w:top w:val="nil"/>
              <w:left w:val="nil"/>
              <w:bottom w:val="single" w:sz="4" w:space="0" w:color="auto"/>
              <w:right w:val="single" w:sz="4" w:space="0" w:color="auto"/>
            </w:tcBorders>
            <w:shd w:val="clear" w:color="000000" w:fill="CFAFE7"/>
            <w:noWrap/>
            <w:vAlign w:val="bottom"/>
            <w:hideMark/>
          </w:tcPr>
          <w:p w14:paraId="5CC51CF0"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10F40EF0"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9</w:t>
            </w:r>
          </w:p>
        </w:tc>
        <w:tc>
          <w:tcPr>
            <w:tcW w:w="1366" w:type="dxa"/>
            <w:tcBorders>
              <w:top w:val="nil"/>
              <w:left w:val="nil"/>
              <w:bottom w:val="single" w:sz="8" w:space="0" w:color="auto"/>
              <w:right w:val="single" w:sz="8" w:space="0" w:color="auto"/>
            </w:tcBorders>
          </w:tcPr>
          <w:p w14:paraId="7DEDC84D"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6</w:t>
            </w:r>
          </w:p>
        </w:tc>
      </w:tr>
      <w:tr w:rsidR="0086568D" w:rsidRPr="0086568D" w14:paraId="04245784"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DA28533"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28</w:t>
            </w:r>
          </w:p>
        </w:tc>
        <w:tc>
          <w:tcPr>
            <w:tcW w:w="3996" w:type="dxa"/>
            <w:tcBorders>
              <w:top w:val="nil"/>
              <w:left w:val="nil"/>
              <w:bottom w:val="single" w:sz="4" w:space="0" w:color="auto"/>
              <w:right w:val="single" w:sz="4" w:space="0" w:color="auto"/>
            </w:tcBorders>
            <w:shd w:val="clear" w:color="000000" w:fill="CFAFE7"/>
            <w:noWrap/>
            <w:vAlign w:val="bottom"/>
            <w:hideMark/>
          </w:tcPr>
          <w:p w14:paraId="1EDCC39B"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NUMBER OF MEDICATION INCIDENTS MSK </w:t>
            </w:r>
          </w:p>
        </w:tc>
        <w:tc>
          <w:tcPr>
            <w:tcW w:w="992" w:type="dxa"/>
            <w:tcBorders>
              <w:top w:val="nil"/>
              <w:left w:val="nil"/>
              <w:bottom w:val="single" w:sz="4" w:space="0" w:color="auto"/>
              <w:right w:val="single" w:sz="4" w:space="0" w:color="auto"/>
            </w:tcBorders>
            <w:shd w:val="clear" w:color="000000" w:fill="CFAFE7"/>
            <w:noWrap/>
            <w:vAlign w:val="bottom"/>
            <w:hideMark/>
          </w:tcPr>
          <w:p w14:paraId="1648CF21"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023ED2D9"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8</w:t>
            </w:r>
          </w:p>
        </w:tc>
        <w:tc>
          <w:tcPr>
            <w:tcW w:w="1366" w:type="dxa"/>
            <w:tcBorders>
              <w:top w:val="nil"/>
              <w:left w:val="nil"/>
              <w:bottom w:val="single" w:sz="8" w:space="0" w:color="auto"/>
              <w:right w:val="single" w:sz="8" w:space="0" w:color="auto"/>
            </w:tcBorders>
          </w:tcPr>
          <w:p w14:paraId="3F2B889A"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9</w:t>
            </w:r>
          </w:p>
        </w:tc>
      </w:tr>
      <w:tr w:rsidR="0086568D" w:rsidRPr="0086568D" w14:paraId="201A41B8"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13E05B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29</w:t>
            </w:r>
          </w:p>
        </w:tc>
        <w:tc>
          <w:tcPr>
            <w:tcW w:w="3996" w:type="dxa"/>
            <w:tcBorders>
              <w:top w:val="nil"/>
              <w:left w:val="nil"/>
              <w:bottom w:val="single" w:sz="4" w:space="0" w:color="auto"/>
              <w:right w:val="single" w:sz="4" w:space="0" w:color="auto"/>
            </w:tcBorders>
            <w:shd w:val="clear" w:color="000000" w:fill="CFAFE7"/>
            <w:noWrap/>
            <w:vAlign w:val="bottom"/>
            <w:hideMark/>
          </w:tcPr>
          <w:p w14:paraId="436E4879"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MEDICATION INCIDENTS SPEC</w:t>
            </w:r>
          </w:p>
        </w:tc>
        <w:tc>
          <w:tcPr>
            <w:tcW w:w="992" w:type="dxa"/>
            <w:tcBorders>
              <w:top w:val="nil"/>
              <w:left w:val="nil"/>
              <w:bottom w:val="single" w:sz="4" w:space="0" w:color="auto"/>
              <w:right w:val="single" w:sz="4" w:space="0" w:color="auto"/>
            </w:tcBorders>
            <w:shd w:val="clear" w:color="000000" w:fill="CFAFE7"/>
            <w:noWrap/>
            <w:vAlign w:val="bottom"/>
            <w:hideMark/>
          </w:tcPr>
          <w:p w14:paraId="78DF219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2319C9FF"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10</w:t>
            </w:r>
          </w:p>
        </w:tc>
        <w:tc>
          <w:tcPr>
            <w:tcW w:w="1366" w:type="dxa"/>
            <w:tcBorders>
              <w:top w:val="nil"/>
              <w:left w:val="nil"/>
              <w:bottom w:val="single" w:sz="8" w:space="0" w:color="auto"/>
              <w:right w:val="single" w:sz="8" w:space="0" w:color="auto"/>
            </w:tcBorders>
          </w:tcPr>
          <w:p w14:paraId="2F67119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29</w:t>
            </w:r>
          </w:p>
        </w:tc>
      </w:tr>
      <w:tr w:rsidR="0086568D" w:rsidRPr="0086568D" w14:paraId="14D6766A"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A57F95A"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30</w:t>
            </w:r>
          </w:p>
        </w:tc>
        <w:tc>
          <w:tcPr>
            <w:tcW w:w="3996" w:type="dxa"/>
            <w:tcBorders>
              <w:top w:val="nil"/>
              <w:left w:val="nil"/>
              <w:bottom w:val="single" w:sz="4" w:space="0" w:color="auto"/>
              <w:right w:val="single" w:sz="4" w:space="0" w:color="auto"/>
            </w:tcBorders>
            <w:shd w:val="clear" w:color="000000" w:fill="CFAFE7"/>
            <w:noWrap/>
            <w:vAlign w:val="bottom"/>
            <w:hideMark/>
          </w:tcPr>
          <w:p w14:paraId="0C05AC71"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ACQUIRED PU MSK</w:t>
            </w:r>
          </w:p>
        </w:tc>
        <w:tc>
          <w:tcPr>
            <w:tcW w:w="992" w:type="dxa"/>
            <w:tcBorders>
              <w:top w:val="nil"/>
              <w:left w:val="nil"/>
              <w:bottom w:val="single" w:sz="4" w:space="0" w:color="auto"/>
              <w:right w:val="single" w:sz="4" w:space="0" w:color="auto"/>
            </w:tcBorders>
            <w:shd w:val="clear" w:color="000000" w:fill="CFAFE7"/>
            <w:noWrap/>
            <w:vAlign w:val="bottom"/>
            <w:hideMark/>
          </w:tcPr>
          <w:p w14:paraId="50B52E1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51B6D7D0"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1</w:t>
            </w:r>
          </w:p>
        </w:tc>
        <w:tc>
          <w:tcPr>
            <w:tcW w:w="1366" w:type="dxa"/>
            <w:tcBorders>
              <w:top w:val="nil"/>
              <w:left w:val="nil"/>
              <w:bottom w:val="single" w:sz="8" w:space="0" w:color="auto"/>
              <w:right w:val="single" w:sz="8" w:space="0" w:color="auto"/>
            </w:tcBorders>
          </w:tcPr>
          <w:p w14:paraId="6E823920"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0</w:t>
            </w:r>
          </w:p>
        </w:tc>
      </w:tr>
      <w:tr w:rsidR="0086568D" w:rsidRPr="0086568D" w14:paraId="45C283EA"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28988AB"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31</w:t>
            </w:r>
          </w:p>
        </w:tc>
        <w:tc>
          <w:tcPr>
            <w:tcW w:w="3996" w:type="dxa"/>
            <w:tcBorders>
              <w:top w:val="nil"/>
              <w:left w:val="nil"/>
              <w:bottom w:val="single" w:sz="4" w:space="0" w:color="auto"/>
              <w:right w:val="single" w:sz="4" w:space="0" w:color="auto"/>
            </w:tcBorders>
            <w:shd w:val="clear" w:color="000000" w:fill="CFAFE7"/>
            <w:noWrap/>
            <w:vAlign w:val="bottom"/>
            <w:hideMark/>
          </w:tcPr>
          <w:p w14:paraId="714CB886"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xml:space="preserve">NUMBER OF ACQUIRED PU SPEC </w:t>
            </w:r>
          </w:p>
        </w:tc>
        <w:tc>
          <w:tcPr>
            <w:tcW w:w="992" w:type="dxa"/>
            <w:tcBorders>
              <w:top w:val="nil"/>
              <w:left w:val="nil"/>
              <w:bottom w:val="single" w:sz="4" w:space="0" w:color="auto"/>
              <w:right w:val="single" w:sz="4" w:space="0" w:color="auto"/>
            </w:tcBorders>
            <w:shd w:val="clear" w:color="000000" w:fill="CFAFE7"/>
            <w:noWrap/>
            <w:vAlign w:val="bottom"/>
            <w:hideMark/>
          </w:tcPr>
          <w:p w14:paraId="274FD38F"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3C73EE7D"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0</w:t>
            </w:r>
          </w:p>
        </w:tc>
        <w:tc>
          <w:tcPr>
            <w:tcW w:w="1366" w:type="dxa"/>
            <w:tcBorders>
              <w:top w:val="nil"/>
              <w:left w:val="nil"/>
              <w:bottom w:val="single" w:sz="8" w:space="0" w:color="auto"/>
              <w:right w:val="single" w:sz="8" w:space="0" w:color="auto"/>
            </w:tcBorders>
          </w:tcPr>
          <w:p w14:paraId="46910D92"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0</w:t>
            </w:r>
          </w:p>
        </w:tc>
      </w:tr>
      <w:tr w:rsidR="0086568D" w:rsidRPr="0086568D" w14:paraId="5D37AA24"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24B74B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32</w:t>
            </w:r>
          </w:p>
        </w:tc>
        <w:tc>
          <w:tcPr>
            <w:tcW w:w="3996" w:type="dxa"/>
            <w:tcBorders>
              <w:top w:val="nil"/>
              <w:left w:val="nil"/>
              <w:bottom w:val="single" w:sz="4" w:space="0" w:color="auto"/>
              <w:right w:val="single" w:sz="4" w:space="0" w:color="auto"/>
            </w:tcBorders>
            <w:shd w:val="clear" w:color="000000" w:fill="CFAFE7"/>
            <w:noWrap/>
            <w:vAlign w:val="bottom"/>
            <w:hideMark/>
          </w:tcPr>
          <w:p w14:paraId="33CA2A23"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COMPLAINTS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6DBF5262"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5FC8795A"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0</w:t>
            </w:r>
          </w:p>
        </w:tc>
        <w:tc>
          <w:tcPr>
            <w:tcW w:w="1366" w:type="dxa"/>
            <w:tcBorders>
              <w:top w:val="nil"/>
              <w:left w:val="nil"/>
              <w:bottom w:val="single" w:sz="8" w:space="0" w:color="auto"/>
              <w:right w:val="single" w:sz="8" w:space="0" w:color="auto"/>
            </w:tcBorders>
          </w:tcPr>
          <w:p w14:paraId="28E4665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0</w:t>
            </w:r>
          </w:p>
        </w:tc>
      </w:tr>
      <w:tr w:rsidR="0086568D" w:rsidRPr="0086568D" w14:paraId="5565791D"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B87154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33</w:t>
            </w:r>
          </w:p>
        </w:tc>
        <w:tc>
          <w:tcPr>
            <w:tcW w:w="3996" w:type="dxa"/>
            <w:tcBorders>
              <w:top w:val="nil"/>
              <w:left w:val="nil"/>
              <w:bottom w:val="single" w:sz="4" w:space="0" w:color="auto"/>
              <w:right w:val="single" w:sz="4" w:space="0" w:color="auto"/>
            </w:tcBorders>
            <w:shd w:val="clear" w:color="000000" w:fill="CFAFE7"/>
            <w:noWrap/>
            <w:vAlign w:val="bottom"/>
            <w:hideMark/>
          </w:tcPr>
          <w:p w14:paraId="4848E5DE"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COMPLAINTS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2FA746A6"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3F4E0F58"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0</w:t>
            </w:r>
          </w:p>
        </w:tc>
        <w:tc>
          <w:tcPr>
            <w:tcW w:w="1366" w:type="dxa"/>
            <w:tcBorders>
              <w:top w:val="nil"/>
              <w:left w:val="nil"/>
              <w:bottom w:val="single" w:sz="8" w:space="0" w:color="auto"/>
              <w:right w:val="single" w:sz="8" w:space="0" w:color="auto"/>
            </w:tcBorders>
          </w:tcPr>
          <w:p w14:paraId="30AF6FE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3</w:t>
            </w:r>
          </w:p>
        </w:tc>
      </w:tr>
      <w:tr w:rsidR="0086568D" w:rsidRPr="0086568D" w14:paraId="1FD6DC5B"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E43935"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34</w:t>
            </w:r>
          </w:p>
        </w:tc>
        <w:tc>
          <w:tcPr>
            <w:tcW w:w="3996" w:type="dxa"/>
            <w:tcBorders>
              <w:top w:val="nil"/>
              <w:left w:val="nil"/>
              <w:bottom w:val="single" w:sz="4" w:space="0" w:color="auto"/>
              <w:right w:val="single" w:sz="4" w:space="0" w:color="auto"/>
            </w:tcBorders>
            <w:shd w:val="clear" w:color="000000" w:fill="CFAFE7"/>
            <w:noWrap/>
            <w:vAlign w:val="bottom"/>
            <w:hideMark/>
          </w:tcPr>
          <w:p w14:paraId="3E7380C5"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NEG FFT COMMENTS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701FC93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0E7790BD"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5</w:t>
            </w:r>
          </w:p>
        </w:tc>
        <w:tc>
          <w:tcPr>
            <w:tcW w:w="1366" w:type="dxa"/>
            <w:tcBorders>
              <w:top w:val="nil"/>
              <w:left w:val="nil"/>
              <w:bottom w:val="single" w:sz="8" w:space="0" w:color="auto"/>
              <w:right w:val="single" w:sz="8" w:space="0" w:color="auto"/>
            </w:tcBorders>
          </w:tcPr>
          <w:p w14:paraId="1BF84E0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1</w:t>
            </w:r>
          </w:p>
        </w:tc>
      </w:tr>
      <w:tr w:rsidR="0086568D" w:rsidRPr="0086568D" w14:paraId="49C71795" w14:textId="77777777" w:rsidTr="00A82797">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0D0592A"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35</w:t>
            </w:r>
          </w:p>
        </w:tc>
        <w:tc>
          <w:tcPr>
            <w:tcW w:w="3996" w:type="dxa"/>
            <w:tcBorders>
              <w:top w:val="nil"/>
              <w:left w:val="nil"/>
              <w:bottom w:val="single" w:sz="4" w:space="0" w:color="auto"/>
              <w:right w:val="single" w:sz="4" w:space="0" w:color="auto"/>
            </w:tcBorders>
            <w:shd w:val="clear" w:color="000000" w:fill="CFAFE7"/>
            <w:noWrap/>
            <w:vAlign w:val="bottom"/>
            <w:hideMark/>
          </w:tcPr>
          <w:p w14:paraId="23F96C63"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NEG FFT COMMENTS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32BFDA6C"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single" w:sz="8" w:space="0" w:color="auto"/>
              <w:right w:val="single" w:sz="8" w:space="0" w:color="auto"/>
            </w:tcBorders>
          </w:tcPr>
          <w:p w14:paraId="052B2D84"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1</w:t>
            </w:r>
          </w:p>
        </w:tc>
        <w:tc>
          <w:tcPr>
            <w:tcW w:w="1366" w:type="dxa"/>
            <w:tcBorders>
              <w:top w:val="nil"/>
              <w:left w:val="nil"/>
              <w:bottom w:val="single" w:sz="8" w:space="0" w:color="auto"/>
              <w:right w:val="single" w:sz="8" w:space="0" w:color="auto"/>
            </w:tcBorders>
          </w:tcPr>
          <w:p w14:paraId="647DD0FB"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1</w:t>
            </w:r>
          </w:p>
        </w:tc>
      </w:tr>
      <w:tr w:rsidR="0086568D" w:rsidRPr="0086568D" w14:paraId="4B981A5F" w14:textId="77777777" w:rsidTr="00A82797">
        <w:trPr>
          <w:trHeight w:val="315"/>
        </w:trPr>
        <w:tc>
          <w:tcPr>
            <w:tcW w:w="1244" w:type="dxa"/>
            <w:tcBorders>
              <w:top w:val="nil"/>
              <w:left w:val="single" w:sz="4" w:space="0" w:color="auto"/>
              <w:bottom w:val="nil"/>
              <w:right w:val="single" w:sz="4" w:space="0" w:color="auto"/>
            </w:tcBorders>
            <w:shd w:val="clear" w:color="auto" w:fill="auto"/>
            <w:noWrap/>
            <w:vAlign w:val="bottom"/>
            <w:hideMark/>
          </w:tcPr>
          <w:p w14:paraId="75E08644"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36</w:t>
            </w:r>
          </w:p>
        </w:tc>
        <w:tc>
          <w:tcPr>
            <w:tcW w:w="3996" w:type="dxa"/>
            <w:tcBorders>
              <w:top w:val="nil"/>
              <w:left w:val="nil"/>
              <w:bottom w:val="nil"/>
              <w:right w:val="single" w:sz="4" w:space="0" w:color="auto"/>
            </w:tcBorders>
            <w:shd w:val="clear" w:color="000000" w:fill="CFAFE7"/>
            <w:noWrap/>
            <w:vAlign w:val="bottom"/>
            <w:hideMark/>
          </w:tcPr>
          <w:p w14:paraId="418BE86C"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NUMBER OF RESOURCE INCIDENTS TRUST</w:t>
            </w:r>
          </w:p>
        </w:tc>
        <w:tc>
          <w:tcPr>
            <w:tcW w:w="992" w:type="dxa"/>
            <w:tcBorders>
              <w:top w:val="nil"/>
              <w:left w:val="nil"/>
              <w:bottom w:val="nil"/>
              <w:right w:val="single" w:sz="4" w:space="0" w:color="auto"/>
            </w:tcBorders>
            <w:shd w:val="clear" w:color="000000" w:fill="CFAFE7"/>
            <w:noWrap/>
            <w:vAlign w:val="bottom"/>
            <w:hideMark/>
          </w:tcPr>
          <w:p w14:paraId="2F604BAE" w14:textId="77777777" w:rsidR="0086568D" w:rsidRPr="0086568D" w:rsidRDefault="0086568D" w:rsidP="0086568D">
            <w:pPr>
              <w:spacing w:before="0"/>
              <w:rPr>
                <w:rFonts w:ascii="Calibri" w:eastAsia="Times New Roman" w:hAnsi="Calibri" w:cs="Calibri"/>
                <w:color w:val="000000"/>
                <w:sz w:val="22"/>
                <w:lang w:eastAsia="en-GB"/>
              </w:rPr>
            </w:pPr>
            <w:r w:rsidRPr="0086568D">
              <w:rPr>
                <w:rFonts w:ascii="Calibri" w:eastAsia="Times New Roman" w:hAnsi="Calibri" w:cs="Calibri"/>
                <w:color w:val="000000"/>
                <w:sz w:val="22"/>
                <w:lang w:eastAsia="en-GB"/>
              </w:rPr>
              <w:t> </w:t>
            </w:r>
          </w:p>
        </w:tc>
        <w:tc>
          <w:tcPr>
            <w:tcW w:w="1418" w:type="dxa"/>
            <w:tcBorders>
              <w:top w:val="nil"/>
              <w:left w:val="nil"/>
              <w:bottom w:val="nil"/>
              <w:right w:val="single" w:sz="8" w:space="0" w:color="auto"/>
            </w:tcBorders>
          </w:tcPr>
          <w:p w14:paraId="1C4420E3" w14:textId="77777777" w:rsidR="0086568D" w:rsidRPr="0086568D" w:rsidRDefault="0086568D" w:rsidP="0086568D">
            <w:pPr>
              <w:spacing w:before="0"/>
              <w:jc w:val="center"/>
              <w:rPr>
                <w:rFonts w:eastAsia="Times New Roman"/>
                <w:color w:val="000000"/>
                <w:sz w:val="22"/>
                <w:lang w:eastAsia="en-GB"/>
              </w:rPr>
            </w:pPr>
            <w:r w:rsidRPr="0086568D">
              <w:rPr>
                <w:rFonts w:ascii="Calibri" w:eastAsia="Times New Roman" w:hAnsi="Calibri" w:cs="Calibri"/>
                <w:sz w:val="22"/>
              </w:rPr>
              <w:t>5</w:t>
            </w:r>
          </w:p>
        </w:tc>
        <w:tc>
          <w:tcPr>
            <w:tcW w:w="1366" w:type="dxa"/>
            <w:tcBorders>
              <w:top w:val="nil"/>
              <w:left w:val="nil"/>
              <w:bottom w:val="nil"/>
              <w:right w:val="single" w:sz="8" w:space="0" w:color="auto"/>
            </w:tcBorders>
          </w:tcPr>
          <w:p w14:paraId="7CAE73A9" w14:textId="77777777" w:rsidR="0086568D" w:rsidRPr="0086568D" w:rsidRDefault="0086568D" w:rsidP="0086568D">
            <w:pPr>
              <w:spacing w:before="0"/>
              <w:jc w:val="center"/>
              <w:rPr>
                <w:rFonts w:ascii="Calibri" w:eastAsia="Times New Roman" w:hAnsi="Calibri" w:cs="Calibri"/>
                <w:color w:val="000000"/>
                <w:sz w:val="22"/>
                <w:lang w:eastAsia="en-GB"/>
              </w:rPr>
            </w:pPr>
            <w:r w:rsidRPr="0086568D">
              <w:rPr>
                <w:rFonts w:ascii="Calibri" w:eastAsia="Times New Roman" w:hAnsi="Calibri" w:cs="Calibri"/>
                <w:sz w:val="22"/>
              </w:rPr>
              <w:t>5</w:t>
            </w:r>
          </w:p>
        </w:tc>
      </w:tr>
      <w:tr w:rsidR="0086568D" w:rsidRPr="0086568D" w14:paraId="6F88B0CC" w14:textId="77777777" w:rsidTr="00A82797">
        <w:trPr>
          <w:trHeight w:val="315"/>
        </w:trPr>
        <w:tc>
          <w:tcPr>
            <w:tcW w:w="1244" w:type="dxa"/>
            <w:tcBorders>
              <w:top w:val="nil"/>
              <w:left w:val="single" w:sz="4" w:space="0" w:color="auto"/>
              <w:bottom w:val="nil"/>
              <w:right w:val="single" w:sz="4" w:space="0" w:color="auto"/>
            </w:tcBorders>
            <w:shd w:val="clear" w:color="auto" w:fill="auto"/>
            <w:noWrap/>
            <w:vAlign w:val="bottom"/>
          </w:tcPr>
          <w:p w14:paraId="253891A5" w14:textId="77777777" w:rsidR="0086568D" w:rsidRPr="0086568D" w:rsidRDefault="0086568D" w:rsidP="0086568D">
            <w:pPr>
              <w:spacing w:before="0"/>
              <w:rPr>
                <w:rFonts w:ascii="Calibri" w:eastAsia="Times New Roman" w:hAnsi="Calibri" w:cs="Calibri"/>
                <w:color w:val="000000"/>
                <w:sz w:val="22"/>
                <w:lang w:eastAsia="en-GB"/>
              </w:rPr>
            </w:pPr>
          </w:p>
        </w:tc>
        <w:tc>
          <w:tcPr>
            <w:tcW w:w="3996" w:type="dxa"/>
            <w:tcBorders>
              <w:top w:val="nil"/>
              <w:left w:val="nil"/>
              <w:bottom w:val="nil"/>
              <w:right w:val="single" w:sz="4" w:space="0" w:color="auto"/>
            </w:tcBorders>
            <w:shd w:val="clear" w:color="000000" w:fill="CFAFE7"/>
            <w:noWrap/>
            <w:vAlign w:val="bottom"/>
          </w:tcPr>
          <w:p w14:paraId="06382656" w14:textId="77777777" w:rsidR="0086568D" w:rsidRPr="0086568D" w:rsidRDefault="0086568D" w:rsidP="0086568D">
            <w:pPr>
              <w:spacing w:before="0"/>
              <w:rPr>
                <w:rFonts w:ascii="Calibri" w:eastAsia="Times New Roman" w:hAnsi="Calibri" w:cs="Calibri"/>
                <w:color w:val="000000"/>
                <w:sz w:val="22"/>
                <w:lang w:eastAsia="en-GB"/>
              </w:rPr>
            </w:pPr>
          </w:p>
        </w:tc>
        <w:tc>
          <w:tcPr>
            <w:tcW w:w="992" w:type="dxa"/>
            <w:tcBorders>
              <w:top w:val="nil"/>
              <w:left w:val="nil"/>
              <w:bottom w:val="nil"/>
              <w:right w:val="single" w:sz="4" w:space="0" w:color="auto"/>
            </w:tcBorders>
            <w:shd w:val="clear" w:color="000000" w:fill="CFAFE7"/>
            <w:noWrap/>
            <w:vAlign w:val="bottom"/>
          </w:tcPr>
          <w:p w14:paraId="332357FB" w14:textId="77777777" w:rsidR="0086568D" w:rsidRPr="0086568D" w:rsidRDefault="0086568D" w:rsidP="0086568D">
            <w:pPr>
              <w:spacing w:before="0"/>
              <w:rPr>
                <w:rFonts w:ascii="Calibri" w:eastAsia="Times New Roman" w:hAnsi="Calibri" w:cs="Calibri"/>
                <w:color w:val="000000"/>
                <w:sz w:val="22"/>
                <w:lang w:eastAsia="en-GB"/>
              </w:rPr>
            </w:pPr>
          </w:p>
        </w:tc>
        <w:tc>
          <w:tcPr>
            <w:tcW w:w="1418" w:type="dxa"/>
            <w:tcBorders>
              <w:top w:val="nil"/>
              <w:left w:val="nil"/>
              <w:bottom w:val="nil"/>
              <w:right w:val="single" w:sz="8" w:space="0" w:color="auto"/>
            </w:tcBorders>
          </w:tcPr>
          <w:p w14:paraId="6DF30E80" w14:textId="77777777" w:rsidR="0086568D" w:rsidRPr="0086568D" w:rsidRDefault="0086568D" w:rsidP="0086568D">
            <w:pPr>
              <w:spacing w:before="0"/>
              <w:jc w:val="center"/>
              <w:rPr>
                <w:rFonts w:ascii="Calibri" w:eastAsia="Times New Roman" w:hAnsi="Calibri" w:cs="Calibri"/>
                <w:sz w:val="22"/>
              </w:rPr>
            </w:pPr>
          </w:p>
        </w:tc>
        <w:tc>
          <w:tcPr>
            <w:tcW w:w="1366" w:type="dxa"/>
            <w:tcBorders>
              <w:top w:val="nil"/>
              <w:left w:val="nil"/>
              <w:bottom w:val="nil"/>
              <w:right w:val="single" w:sz="8" w:space="0" w:color="auto"/>
            </w:tcBorders>
          </w:tcPr>
          <w:p w14:paraId="208027EF" w14:textId="77777777" w:rsidR="0086568D" w:rsidRPr="0086568D" w:rsidRDefault="0086568D" w:rsidP="0086568D">
            <w:pPr>
              <w:spacing w:before="0"/>
              <w:jc w:val="center"/>
              <w:rPr>
                <w:rFonts w:ascii="Calibri" w:eastAsia="Times New Roman" w:hAnsi="Calibri" w:cs="Calibri"/>
                <w:sz w:val="22"/>
              </w:rPr>
            </w:pPr>
          </w:p>
        </w:tc>
      </w:tr>
      <w:tr w:rsidR="0086568D" w:rsidRPr="0086568D" w14:paraId="387C6898" w14:textId="77777777" w:rsidTr="00A82797">
        <w:trPr>
          <w:trHeight w:val="60"/>
        </w:trPr>
        <w:tc>
          <w:tcPr>
            <w:tcW w:w="1244" w:type="dxa"/>
            <w:tcBorders>
              <w:top w:val="nil"/>
              <w:left w:val="single" w:sz="4" w:space="0" w:color="auto"/>
              <w:bottom w:val="single" w:sz="4" w:space="0" w:color="auto"/>
              <w:right w:val="single" w:sz="4" w:space="0" w:color="auto"/>
            </w:tcBorders>
            <w:shd w:val="clear" w:color="auto" w:fill="auto"/>
            <w:noWrap/>
            <w:vAlign w:val="bottom"/>
          </w:tcPr>
          <w:p w14:paraId="69F36C0E" w14:textId="77777777" w:rsidR="0086568D" w:rsidRPr="0086568D" w:rsidRDefault="0086568D" w:rsidP="0086568D">
            <w:pPr>
              <w:spacing w:before="0"/>
              <w:rPr>
                <w:rFonts w:ascii="Calibri" w:eastAsia="Times New Roman" w:hAnsi="Calibri" w:cs="Calibri"/>
                <w:color w:val="000000"/>
                <w:sz w:val="22"/>
                <w:lang w:eastAsia="en-GB"/>
              </w:rPr>
            </w:pPr>
          </w:p>
        </w:tc>
        <w:tc>
          <w:tcPr>
            <w:tcW w:w="3996" w:type="dxa"/>
            <w:tcBorders>
              <w:top w:val="nil"/>
              <w:left w:val="nil"/>
              <w:bottom w:val="single" w:sz="4" w:space="0" w:color="auto"/>
              <w:right w:val="single" w:sz="4" w:space="0" w:color="auto"/>
            </w:tcBorders>
            <w:shd w:val="clear" w:color="000000" w:fill="CFAFE7"/>
            <w:noWrap/>
            <w:vAlign w:val="bottom"/>
          </w:tcPr>
          <w:p w14:paraId="3A854F4B" w14:textId="77777777" w:rsidR="0086568D" w:rsidRPr="0086568D" w:rsidRDefault="0086568D" w:rsidP="0086568D">
            <w:pPr>
              <w:spacing w:before="0"/>
              <w:rPr>
                <w:rFonts w:ascii="Calibri" w:eastAsia="Times New Roman" w:hAnsi="Calibri" w:cs="Calibri"/>
                <w:color w:val="000000"/>
                <w:sz w:val="22"/>
                <w:lang w:eastAsia="en-GB"/>
              </w:rPr>
            </w:pPr>
          </w:p>
        </w:tc>
        <w:tc>
          <w:tcPr>
            <w:tcW w:w="992" w:type="dxa"/>
            <w:tcBorders>
              <w:top w:val="nil"/>
              <w:left w:val="nil"/>
              <w:bottom w:val="single" w:sz="4" w:space="0" w:color="auto"/>
              <w:right w:val="single" w:sz="4" w:space="0" w:color="auto"/>
            </w:tcBorders>
            <w:shd w:val="clear" w:color="000000" w:fill="CFAFE7"/>
            <w:noWrap/>
            <w:vAlign w:val="bottom"/>
          </w:tcPr>
          <w:p w14:paraId="273FD3E7" w14:textId="77777777" w:rsidR="0086568D" w:rsidRPr="0086568D" w:rsidRDefault="0086568D" w:rsidP="0086568D">
            <w:pPr>
              <w:spacing w:before="0"/>
              <w:rPr>
                <w:rFonts w:ascii="Calibri" w:eastAsia="Times New Roman" w:hAnsi="Calibri" w:cs="Calibri"/>
                <w:color w:val="000000"/>
                <w:sz w:val="22"/>
                <w:lang w:eastAsia="en-GB"/>
              </w:rPr>
            </w:pPr>
          </w:p>
        </w:tc>
        <w:tc>
          <w:tcPr>
            <w:tcW w:w="1418" w:type="dxa"/>
            <w:tcBorders>
              <w:top w:val="nil"/>
              <w:left w:val="nil"/>
              <w:bottom w:val="single" w:sz="8" w:space="0" w:color="auto"/>
              <w:right w:val="single" w:sz="8" w:space="0" w:color="auto"/>
            </w:tcBorders>
          </w:tcPr>
          <w:p w14:paraId="56B10EB9" w14:textId="77777777" w:rsidR="0086568D" w:rsidRPr="0086568D" w:rsidRDefault="0086568D" w:rsidP="0086568D">
            <w:pPr>
              <w:spacing w:before="0"/>
              <w:jc w:val="center"/>
              <w:rPr>
                <w:rFonts w:ascii="Calibri" w:eastAsia="Times New Roman" w:hAnsi="Calibri" w:cs="Calibri"/>
                <w:sz w:val="22"/>
              </w:rPr>
            </w:pPr>
          </w:p>
        </w:tc>
        <w:tc>
          <w:tcPr>
            <w:tcW w:w="1366" w:type="dxa"/>
            <w:tcBorders>
              <w:top w:val="nil"/>
              <w:left w:val="nil"/>
              <w:bottom w:val="single" w:sz="8" w:space="0" w:color="auto"/>
              <w:right w:val="single" w:sz="8" w:space="0" w:color="auto"/>
            </w:tcBorders>
          </w:tcPr>
          <w:p w14:paraId="618EA5D3" w14:textId="77777777" w:rsidR="0086568D" w:rsidRPr="0086568D" w:rsidRDefault="0086568D" w:rsidP="0086568D">
            <w:pPr>
              <w:spacing w:before="0"/>
              <w:jc w:val="center"/>
              <w:rPr>
                <w:rFonts w:ascii="Calibri" w:eastAsia="Times New Roman" w:hAnsi="Calibri" w:cs="Calibri"/>
                <w:sz w:val="22"/>
              </w:rPr>
            </w:pPr>
          </w:p>
        </w:tc>
      </w:tr>
    </w:tbl>
    <w:p w14:paraId="73932799" w14:textId="77777777" w:rsidR="00A24F60" w:rsidRDefault="00A24F60"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6AD239C1" w14:textId="77777777" w:rsidR="00BF3853" w:rsidRDefault="00BF3853"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490FD9BF" w14:textId="77777777" w:rsidR="00BF3853" w:rsidRDefault="00BF3853"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18FF3607" w14:textId="77777777" w:rsidR="00BF3853" w:rsidRDefault="00BF3853"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60B14649" w14:textId="77777777" w:rsidR="00BF3853" w:rsidRDefault="00BF3853"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5A4CE070" w14:textId="77777777" w:rsidR="00BF3853" w:rsidRDefault="00BF3853"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50033580" w14:textId="70327203"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Fill rates</w:t>
      </w:r>
    </w:p>
    <w:p w14:paraId="7258E2DC"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reporting of nurse staffing ‘fill rates’ was mandated since June 2014 and is described as follows:</w:t>
      </w:r>
    </w:p>
    <w:p w14:paraId="5704175E" w14:textId="77777777" w:rsidR="000B1816" w:rsidRPr="000B1816" w:rsidRDefault="000B1816" w:rsidP="000B1816">
      <w:pPr>
        <w:widowControl w:val="0"/>
        <w:autoSpaceDE w:val="0"/>
        <w:autoSpaceDN w:val="0"/>
        <w:spacing w:before="0"/>
        <w:ind w:left="720"/>
        <w:rPr>
          <w:rFonts w:asciiTheme="minorHAnsi" w:eastAsia="Arial" w:hAnsiTheme="minorHAnsi" w:cstheme="minorHAnsi"/>
          <w:i/>
          <w:iCs/>
          <w:sz w:val="22"/>
          <w:lang w:val="en-US"/>
        </w:rPr>
      </w:pPr>
      <w:r w:rsidRPr="000B1816">
        <w:rPr>
          <w:rFonts w:asciiTheme="minorHAnsi" w:eastAsia="Arial" w:hAnsiTheme="minorHAnsi" w:cstheme="minorHAnsi"/>
          <w:sz w:val="22"/>
          <w:lang w:val="en-US"/>
        </w:rPr>
        <w:t>“</w:t>
      </w:r>
      <w:r w:rsidRPr="000B1816">
        <w:rPr>
          <w:rFonts w:asciiTheme="minorHAnsi" w:eastAsia="Arial" w:hAnsiTheme="minorHAnsi" w:cstheme="minorHAnsi"/>
          <w:i/>
          <w:iCs/>
          <w:sz w:val="22"/>
          <w:lang w:val="en-US"/>
        </w:rPr>
        <w:t xml:space="preserve">This measure shows the overall average percentage of planned day and night hours for registered and unregistered care staff and midwifes in hospitals </w:t>
      </w:r>
      <w:proofErr w:type="gramStart"/>
      <w:r w:rsidRPr="000B1816">
        <w:rPr>
          <w:rFonts w:asciiTheme="minorHAnsi" w:eastAsia="Arial" w:hAnsiTheme="minorHAnsi" w:cstheme="minorHAnsi"/>
          <w:i/>
          <w:iCs/>
          <w:sz w:val="22"/>
          <w:lang w:val="en-US"/>
        </w:rPr>
        <w:t>which</w:t>
      </w:r>
      <w:proofErr w:type="gramEnd"/>
    </w:p>
    <w:p w14:paraId="53015E51" w14:textId="77777777" w:rsidR="000B1816" w:rsidRPr="000B1816" w:rsidRDefault="000B1816" w:rsidP="000B1816">
      <w:pPr>
        <w:widowControl w:val="0"/>
        <w:autoSpaceDE w:val="0"/>
        <w:autoSpaceDN w:val="0"/>
        <w:spacing w:before="0"/>
        <w:ind w:firstLine="720"/>
        <w:rPr>
          <w:rFonts w:asciiTheme="minorHAnsi" w:eastAsia="Arial" w:hAnsiTheme="minorHAnsi" w:cstheme="minorHAnsi"/>
          <w:sz w:val="22"/>
          <w:lang w:val="en-US"/>
        </w:rPr>
      </w:pPr>
      <w:r w:rsidRPr="000B1816">
        <w:rPr>
          <w:rFonts w:asciiTheme="minorHAnsi" w:eastAsia="Arial" w:hAnsiTheme="minorHAnsi" w:cstheme="minorHAnsi"/>
          <w:i/>
          <w:iCs/>
          <w:sz w:val="22"/>
          <w:lang w:val="en-US"/>
        </w:rPr>
        <w:t>are filled</w:t>
      </w:r>
      <w:r w:rsidRPr="000B1816">
        <w:rPr>
          <w:rFonts w:asciiTheme="minorHAnsi" w:eastAsia="Arial" w:hAnsiTheme="minorHAnsi" w:cstheme="minorHAnsi"/>
          <w:sz w:val="22"/>
          <w:lang w:val="en-US"/>
        </w:rPr>
        <w:t xml:space="preserve">”. </w:t>
      </w:r>
    </w:p>
    <w:p w14:paraId="768C3C37"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7CEEEE4E" w14:textId="7095D3E1"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National rates are aimed at 95% fill across day and night for Registered Nurses (RNs) and Health Care Assistants (HCAs). Mitigation in staff absences is supported with the use of temporary staffing and redeployment where safe to do so.  This is supported through an assessment of ‘Safe Care’ which considers staffing numbers alongside the acuity and dependency of patients and the skill mix of staff available.</w:t>
      </w:r>
      <w:r w:rsidR="00233855" w:rsidRPr="00233855">
        <w:t xml:space="preserve"> </w:t>
      </w:r>
      <w:r w:rsidR="00233855" w:rsidRPr="00233855">
        <w:rPr>
          <w:rFonts w:asciiTheme="minorHAnsi" w:eastAsia="Arial" w:hAnsiTheme="minorHAnsi" w:cstheme="minorHAnsi"/>
          <w:sz w:val="22"/>
          <w:lang w:val="en-US"/>
        </w:rPr>
        <w:t>Whilst moving staff from their base wards is not ideal, sometimes it is necessary to maintain safer staffing levels and minimize the use of bank and agency staff which is more costly.</w:t>
      </w:r>
      <w:r w:rsidRPr="000B1816">
        <w:rPr>
          <w:rFonts w:asciiTheme="minorHAnsi" w:eastAsia="Arial" w:hAnsiTheme="minorHAnsi" w:cstheme="minorHAnsi"/>
          <w:sz w:val="22"/>
          <w:lang w:val="en-US"/>
        </w:rPr>
        <w:t xml:space="preserve"> </w:t>
      </w:r>
      <w:r w:rsidR="00DE4A8A">
        <w:rPr>
          <w:rFonts w:asciiTheme="minorHAnsi" w:eastAsia="Arial" w:hAnsiTheme="minorHAnsi" w:cstheme="minorHAnsi"/>
          <w:sz w:val="22"/>
          <w:lang w:val="en-US"/>
        </w:rPr>
        <w:t xml:space="preserve">Variance in fill rates </w:t>
      </w:r>
      <w:proofErr w:type="gramStart"/>
      <w:r w:rsidR="00DE4A8A">
        <w:rPr>
          <w:rFonts w:asciiTheme="minorHAnsi" w:eastAsia="Arial" w:hAnsiTheme="minorHAnsi" w:cstheme="minorHAnsi"/>
          <w:sz w:val="22"/>
          <w:lang w:val="en-US"/>
        </w:rPr>
        <w:t>are</w:t>
      </w:r>
      <w:proofErr w:type="gramEnd"/>
      <w:r w:rsidR="00DE4A8A">
        <w:rPr>
          <w:rFonts w:asciiTheme="minorHAnsi" w:eastAsia="Arial" w:hAnsiTheme="minorHAnsi" w:cstheme="minorHAnsi"/>
          <w:sz w:val="22"/>
          <w:lang w:val="en-US"/>
        </w:rPr>
        <w:t xml:space="preserve"> reported on monthly by the </w:t>
      </w:r>
      <w:r w:rsidR="00233855" w:rsidRPr="00233855">
        <w:rPr>
          <w:rFonts w:asciiTheme="minorHAnsi" w:eastAsia="Arial" w:hAnsiTheme="minorHAnsi" w:cstheme="minorHAnsi"/>
          <w:sz w:val="22"/>
          <w:lang w:val="en-US"/>
        </w:rPr>
        <w:t>ACN’</w:t>
      </w:r>
      <w:r w:rsidR="00DE4A8A" w:rsidRPr="00233855">
        <w:rPr>
          <w:rFonts w:asciiTheme="minorHAnsi" w:eastAsia="Arial" w:hAnsiTheme="minorHAnsi" w:cstheme="minorHAnsi"/>
          <w:sz w:val="22"/>
          <w:lang w:val="en-US"/>
        </w:rPr>
        <w:t>s.</w:t>
      </w:r>
      <w:r w:rsidR="00DE4A8A">
        <w:rPr>
          <w:rFonts w:asciiTheme="minorHAnsi" w:eastAsia="Arial" w:hAnsiTheme="minorHAnsi" w:cstheme="minorHAnsi"/>
          <w:sz w:val="22"/>
          <w:lang w:val="en-US"/>
        </w:rPr>
        <w:t xml:space="preserve"> Almost always the variance is caused by </w:t>
      </w:r>
      <w:proofErr w:type="gramStart"/>
      <w:r w:rsidR="00DE4A8A">
        <w:rPr>
          <w:rFonts w:asciiTheme="minorHAnsi" w:eastAsia="Arial" w:hAnsiTheme="minorHAnsi" w:cstheme="minorHAnsi"/>
          <w:sz w:val="22"/>
          <w:lang w:val="en-US"/>
        </w:rPr>
        <w:t>Patients</w:t>
      </w:r>
      <w:proofErr w:type="gramEnd"/>
      <w:r w:rsidR="00DE4A8A">
        <w:rPr>
          <w:rFonts w:asciiTheme="minorHAnsi" w:eastAsia="Arial" w:hAnsiTheme="minorHAnsi" w:cstheme="minorHAnsi"/>
          <w:sz w:val="22"/>
          <w:lang w:val="en-US"/>
        </w:rPr>
        <w:t xml:space="preserve"> requiring 1-1 care. </w:t>
      </w:r>
    </w:p>
    <w:p w14:paraId="75392EED"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Style w:val="TableGrid1"/>
        <w:tblW w:w="9463" w:type="dxa"/>
        <w:tblLayout w:type="fixed"/>
        <w:tblLook w:val="04A0" w:firstRow="1" w:lastRow="0" w:firstColumn="1" w:lastColumn="0" w:noHBand="0" w:noVBand="1"/>
      </w:tblPr>
      <w:tblGrid>
        <w:gridCol w:w="2547"/>
        <w:gridCol w:w="3118"/>
        <w:gridCol w:w="3798"/>
      </w:tblGrid>
      <w:tr w:rsidR="000B1816" w:rsidRPr="000B1816" w14:paraId="30AF3EC9" w14:textId="77777777" w:rsidTr="00A57D02">
        <w:trPr>
          <w:trHeight w:val="250"/>
        </w:trPr>
        <w:tc>
          <w:tcPr>
            <w:tcW w:w="2547" w:type="dxa"/>
            <w:shd w:val="clear" w:color="auto" w:fill="C6D9F1" w:themeFill="text2" w:themeFillTint="33"/>
          </w:tcPr>
          <w:p w14:paraId="2DCA3F66" w14:textId="5A0751B7" w:rsidR="000B1816" w:rsidRPr="000B1816" w:rsidRDefault="007506EC" w:rsidP="000B1816">
            <w:pPr>
              <w:spacing w:before="0"/>
              <w:jc w:val="both"/>
              <w:rPr>
                <w:rFonts w:asciiTheme="minorHAnsi" w:eastAsiaTheme="minorHAnsi" w:hAnsiTheme="minorHAnsi" w:cstheme="minorHAnsi"/>
                <w:b/>
                <w:bCs/>
                <w:sz w:val="22"/>
              </w:rPr>
            </w:pPr>
            <w:r>
              <w:rPr>
                <w:rFonts w:asciiTheme="minorHAnsi" w:eastAsiaTheme="minorHAnsi" w:hAnsiTheme="minorHAnsi" w:cstheme="minorHAnsi"/>
                <w:b/>
                <w:bCs/>
                <w:sz w:val="22"/>
              </w:rPr>
              <w:t xml:space="preserve">July </w:t>
            </w:r>
            <w:r w:rsidR="000B1816" w:rsidRPr="000B1816">
              <w:rPr>
                <w:rFonts w:asciiTheme="minorHAnsi" w:eastAsiaTheme="minorHAnsi" w:hAnsiTheme="minorHAnsi" w:cstheme="minorHAnsi"/>
                <w:b/>
                <w:bCs/>
                <w:sz w:val="22"/>
              </w:rPr>
              <w:t>23 Trust fill</w:t>
            </w:r>
          </w:p>
        </w:tc>
        <w:tc>
          <w:tcPr>
            <w:tcW w:w="3118" w:type="dxa"/>
            <w:shd w:val="clear" w:color="auto" w:fill="C6D9F1" w:themeFill="text2" w:themeFillTint="33"/>
          </w:tcPr>
          <w:p w14:paraId="42EEE4ED"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Day % fill</w:t>
            </w:r>
          </w:p>
        </w:tc>
        <w:tc>
          <w:tcPr>
            <w:tcW w:w="3798" w:type="dxa"/>
            <w:shd w:val="clear" w:color="auto" w:fill="C6D9F1" w:themeFill="text2" w:themeFillTint="33"/>
          </w:tcPr>
          <w:p w14:paraId="61D12CC4"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Night % fill</w:t>
            </w:r>
          </w:p>
        </w:tc>
      </w:tr>
      <w:tr w:rsidR="000B1816" w:rsidRPr="000B1816" w14:paraId="6A4367A5" w14:textId="77777777" w:rsidTr="00A57D02">
        <w:trPr>
          <w:trHeight w:val="250"/>
        </w:trPr>
        <w:tc>
          <w:tcPr>
            <w:tcW w:w="2547" w:type="dxa"/>
            <w:shd w:val="clear" w:color="auto" w:fill="C6D9F1" w:themeFill="text2" w:themeFillTint="33"/>
          </w:tcPr>
          <w:p w14:paraId="4E0867DB"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RN</w:t>
            </w:r>
          </w:p>
        </w:tc>
        <w:tc>
          <w:tcPr>
            <w:tcW w:w="3118" w:type="dxa"/>
          </w:tcPr>
          <w:p w14:paraId="3385174C" w14:textId="0B6DFEB5" w:rsidR="000B1816" w:rsidRPr="000B1816" w:rsidRDefault="00C53C76" w:rsidP="000B1816">
            <w:pPr>
              <w:spacing w:before="0"/>
              <w:jc w:val="center"/>
              <w:rPr>
                <w:rFonts w:asciiTheme="minorHAnsi" w:eastAsiaTheme="minorHAnsi" w:hAnsiTheme="minorHAnsi" w:cstheme="minorHAnsi"/>
                <w:sz w:val="22"/>
              </w:rPr>
            </w:pPr>
            <w:r w:rsidRPr="00262F01">
              <w:rPr>
                <w:rFonts w:asciiTheme="minorHAnsi" w:hAnsiTheme="minorHAnsi" w:cstheme="minorHAnsi"/>
                <w:sz w:val="22"/>
              </w:rPr>
              <w:t>98.1%</w:t>
            </w:r>
          </w:p>
        </w:tc>
        <w:tc>
          <w:tcPr>
            <w:tcW w:w="3798" w:type="dxa"/>
          </w:tcPr>
          <w:p w14:paraId="13DB972D" w14:textId="307AEBE0" w:rsidR="000B1816" w:rsidRPr="000B1816" w:rsidRDefault="00C53C76" w:rsidP="000B1816">
            <w:pPr>
              <w:spacing w:before="0"/>
              <w:jc w:val="center"/>
              <w:rPr>
                <w:rFonts w:asciiTheme="minorHAnsi" w:eastAsiaTheme="minorHAnsi" w:hAnsiTheme="minorHAnsi" w:cstheme="minorHAnsi"/>
                <w:sz w:val="22"/>
              </w:rPr>
            </w:pPr>
            <w:r w:rsidRPr="00262F01">
              <w:rPr>
                <w:rFonts w:asciiTheme="minorHAnsi" w:hAnsiTheme="minorHAnsi" w:cstheme="minorHAnsi"/>
                <w:sz w:val="22"/>
              </w:rPr>
              <w:t>102.7%</w:t>
            </w:r>
          </w:p>
        </w:tc>
      </w:tr>
      <w:tr w:rsidR="000B1816" w:rsidRPr="000B1816" w14:paraId="05FC1A10" w14:textId="77777777" w:rsidTr="00A57D02">
        <w:trPr>
          <w:trHeight w:val="250"/>
        </w:trPr>
        <w:tc>
          <w:tcPr>
            <w:tcW w:w="2547" w:type="dxa"/>
            <w:shd w:val="clear" w:color="auto" w:fill="C6D9F1" w:themeFill="text2" w:themeFillTint="33"/>
          </w:tcPr>
          <w:p w14:paraId="36EC1E07"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 xml:space="preserve">HCA </w:t>
            </w:r>
          </w:p>
        </w:tc>
        <w:tc>
          <w:tcPr>
            <w:tcW w:w="3118" w:type="dxa"/>
          </w:tcPr>
          <w:p w14:paraId="1B48BA67" w14:textId="2AA70056" w:rsidR="000B1816" w:rsidRPr="000B1816" w:rsidRDefault="00C53C76" w:rsidP="000B1816">
            <w:pPr>
              <w:spacing w:before="0"/>
              <w:jc w:val="center"/>
              <w:rPr>
                <w:rFonts w:asciiTheme="minorHAnsi" w:eastAsiaTheme="minorHAnsi" w:hAnsiTheme="minorHAnsi" w:cstheme="minorHAnsi"/>
                <w:sz w:val="22"/>
              </w:rPr>
            </w:pPr>
            <w:r w:rsidRPr="00262F01">
              <w:rPr>
                <w:rFonts w:asciiTheme="minorHAnsi" w:hAnsiTheme="minorHAnsi" w:cstheme="minorHAnsi"/>
                <w:sz w:val="22"/>
              </w:rPr>
              <w:t>113.0%</w:t>
            </w:r>
          </w:p>
        </w:tc>
        <w:tc>
          <w:tcPr>
            <w:tcW w:w="3798" w:type="dxa"/>
          </w:tcPr>
          <w:p w14:paraId="5023BC50" w14:textId="00942B68" w:rsidR="000B1816" w:rsidRPr="000B1816" w:rsidRDefault="00C53C76" w:rsidP="000B1816">
            <w:pPr>
              <w:spacing w:before="0"/>
              <w:jc w:val="center"/>
              <w:rPr>
                <w:rFonts w:asciiTheme="minorHAnsi" w:eastAsiaTheme="minorHAnsi" w:hAnsiTheme="minorHAnsi" w:cstheme="minorHAnsi"/>
                <w:sz w:val="22"/>
              </w:rPr>
            </w:pPr>
            <w:r w:rsidRPr="00262F01">
              <w:rPr>
                <w:rFonts w:asciiTheme="minorHAnsi" w:hAnsiTheme="minorHAnsi" w:cstheme="minorHAnsi"/>
                <w:sz w:val="22"/>
              </w:rPr>
              <w:t>115.8%</w:t>
            </w:r>
          </w:p>
        </w:tc>
      </w:tr>
    </w:tbl>
    <w:p w14:paraId="338098DA" w14:textId="77777777" w:rsidR="000B1816" w:rsidRPr="000B1816" w:rsidRDefault="000B1816" w:rsidP="000B1816">
      <w:pPr>
        <w:rPr>
          <w:rFonts w:asciiTheme="minorHAnsi" w:hAnsiTheme="minorHAnsi" w:cstheme="minorHAnsi"/>
          <w:b/>
          <w:bCs/>
          <w:sz w:val="22"/>
        </w:rPr>
      </w:pPr>
    </w:p>
    <w:p w14:paraId="6774B025" w14:textId="77777777"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Care Hours Per patient per day </w:t>
      </w:r>
    </w:p>
    <w:p w14:paraId="48C8DC9C" w14:textId="77777777" w:rsidR="00A24F60" w:rsidRDefault="00A24F60" w:rsidP="000B1816">
      <w:pPr>
        <w:widowControl w:val="0"/>
        <w:autoSpaceDE w:val="0"/>
        <w:autoSpaceDN w:val="0"/>
        <w:spacing w:before="0"/>
        <w:rPr>
          <w:rFonts w:asciiTheme="minorHAnsi" w:eastAsia="Arial" w:hAnsiTheme="minorHAnsi" w:cstheme="minorHAnsi"/>
          <w:sz w:val="22"/>
          <w:lang w:val="en-US"/>
        </w:rPr>
      </w:pPr>
    </w:p>
    <w:p w14:paraId="5F7478BF" w14:textId="6F631FD3"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Patient Day (CHPPD) is a measure of workforce deployment that can be used at both ward and service level or be aggregated to Trust level. It provides a view of all professions that deliver care in a ward-based setting and differentiates registered clinical staff from non-registered clinical staff. </w:t>
      </w:r>
    </w:p>
    <w:p w14:paraId="031D16B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0DFDAFF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This ensures skill-mix is well-described, that nurse-to-patient ratio is considered when deploying the clinical professionals to provide the planned care, and that this is reflected alongside an aggregated overall actual CHPPD. </w:t>
      </w:r>
    </w:p>
    <w:p w14:paraId="5855759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18E3724"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CHPPD is the principal measure of workforce deployment in ward-based settings and forms an integral part of any ward/unit/Trust review along with oversight of quality and performance indicators. All of which combined, inform on the quality of care, patient outcomes, people productivity and financial sustainability. </w:t>
      </w:r>
    </w:p>
    <w:p w14:paraId="491FFD5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B462BB9" w14:textId="772EBDAA"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table below provides a summary of the </w:t>
      </w:r>
      <w:r w:rsidR="00C53C76">
        <w:rPr>
          <w:rFonts w:asciiTheme="minorHAnsi" w:eastAsia="Arial" w:hAnsiTheme="minorHAnsi" w:cstheme="minorHAnsi"/>
          <w:sz w:val="22"/>
          <w:lang w:val="en-US"/>
        </w:rPr>
        <w:t>August</w:t>
      </w:r>
      <w:r w:rsidRPr="000B1816">
        <w:rPr>
          <w:rFonts w:asciiTheme="minorHAnsi" w:eastAsia="Arial" w:hAnsiTheme="minorHAnsi" w:cstheme="minorHAnsi"/>
          <w:sz w:val="22"/>
          <w:lang w:val="en-US"/>
        </w:rPr>
        <w:t xml:space="preserve"> rates by unit/Trust.</w:t>
      </w:r>
    </w:p>
    <w:p w14:paraId="7E08387D"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tbl>
      <w:tblPr>
        <w:tblW w:w="9359" w:type="dxa"/>
        <w:tblLook w:val="04A0" w:firstRow="1" w:lastRow="0" w:firstColumn="1" w:lastColumn="0" w:noHBand="0" w:noVBand="1"/>
      </w:tblPr>
      <w:tblGrid>
        <w:gridCol w:w="2689"/>
        <w:gridCol w:w="6670"/>
      </w:tblGrid>
      <w:tr w:rsidR="00C53C76" w:rsidRPr="000B1816" w14:paraId="0D3FD10A" w14:textId="77777777" w:rsidTr="0063514F">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C6BFCFD" w14:textId="77777777" w:rsidR="00C53C76" w:rsidRPr="000B1816" w:rsidRDefault="00C53C76" w:rsidP="00C53C7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TRUST </w:t>
            </w:r>
          </w:p>
        </w:tc>
        <w:tc>
          <w:tcPr>
            <w:tcW w:w="6670" w:type="dxa"/>
            <w:tcBorders>
              <w:top w:val="single" w:sz="4" w:space="0" w:color="auto"/>
              <w:left w:val="nil"/>
              <w:bottom w:val="single" w:sz="4" w:space="0" w:color="auto"/>
              <w:right w:val="single" w:sz="4" w:space="0" w:color="auto"/>
            </w:tcBorders>
            <w:shd w:val="clear" w:color="auto" w:fill="C6D9F1" w:themeFill="text2" w:themeFillTint="33"/>
            <w:noWrap/>
          </w:tcPr>
          <w:p w14:paraId="75D526D6" w14:textId="1110208A" w:rsidR="00C53C76" w:rsidRPr="00C53C76" w:rsidRDefault="00C53C76" w:rsidP="00C53C76">
            <w:pPr>
              <w:spacing w:before="0"/>
              <w:jc w:val="center"/>
              <w:rPr>
                <w:rFonts w:asciiTheme="minorHAnsi" w:eastAsia="Times New Roman" w:hAnsiTheme="minorHAnsi" w:cstheme="minorHAnsi"/>
                <w:color w:val="000000"/>
                <w:sz w:val="22"/>
                <w:lang w:eastAsia="en-GB"/>
              </w:rPr>
            </w:pPr>
            <w:r w:rsidRPr="00C53C76">
              <w:rPr>
                <w:rFonts w:asciiTheme="minorHAnsi" w:hAnsiTheme="minorHAnsi" w:cstheme="minorHAnsi"/>
                <w:sz w:val="22"/>
              </w:rPr>
              <w:t>7.5</w:t>
            </w:r>
          </w:p>
        </w:tc>
      </w:tr>
      <w:tr w:rsidR="00C53C76" w:rsidRPr="000B1816" w14:paraId="5B8552FA" w14:textId="77777777" w:rsidTr="0063514F">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4431252" w14:textId="77777777" w:rsidR="00C53C76" w:rsidRPr="000B1816" w:rsidRDefault="00C53C76" w:rsidP="00C53C7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MSK </w:t>
            </w:r>
          </w:p>
        </w:tc>
        <w:tc>
          <w:tcPr>
            <w:tcW w:w="6670" w:type="dxa"/>
            <w:tcBorders>
              <w:top w:val="nil"/>
              <w:left w:val="nil"/>
              <w:bottom w:val="single" w:sz="4" w:space="0" w:color="auto"/>
              <w:right w:val="single" w:sz="4" w:space="0" w:color="auto"/>
            </w:tcBorders>
            <w:shd w:val="clear" w:color="auto" w:fill="C6D9F1" w:themeFill="text2" w:themeFillTint="33"/>
            <w:noWrap/>
          </w:tcPr>
          <w:p w14:paraId="7C22BBA3" w14:textId="32BD12EB" w:rsidR="00C53C76" w:rsidRPr="00C53C76" w:rsidRDefault="00C53C76" w:rsidP="00C53C76">
            <w:pPr>
              <w:spacing w:before="0"/>
              <w:jc w:val="center"/>
              <w:rPr>
                <w:rFonts w:asciiTheme="minorHAnsi" w:eastAsia="Times New Roman" w:hAnsiTheme="minorHAnsi" w:cstheme="minorHAnsi"/>
                <w:color w:val="000000"/>
                <w:sz w:val="22"/>
                <w:lang w:eastAsia="en-GB"/>
              </w:rPr>
            </w:pPr>
            <w:r w:rsidRPr="00C53C76">
              <w:rPr>
                <w:rFonts w:asciiTheme="minorHAnsi" w:hAnsiTheme="minorHAnsi" w:cstheme="minorHAnsi"/>
                <w:sz w:val="22"/>
              </w:rPr>
              <w:t>7.8</w:t>
            </w:r>
          </w:p>
        </w:tc>
      </w:tr>
      <w:tr w:rsidR="00C53C76" w:rsidRPr="000B1816" w14:paraId="4EE39208" w14:textId="77777777" w:rsidTr="0063514F">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4CD16EA" w14:textId="77777777" w:rsidR="00C53C76" w:rsidRPr="000B1816" w:rsidRDefault="00C53C76" w:rsidP="00C53C7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CHPPD SPEC</w:t>
            </w:r>
          </w:p>
        </w:tc>
        <w:tc>
          <w:tcPr>
            <w:tcW w:w="6670" w:type="dxa"/>
            <w:tcBorders>
              <w:top w:val="nil"/>
              <w:left w:val="nil"/>
              <w:bottom w:val="single" w:sz="4" w:space="0" w:color="auto"/>
              <w:right w:val="single" w:sz="4" w:space="0" w:color="auto"/>
            </w:tcBorders>
            <w:shd w:val="clear" w:color="auto" w:fill="C6D9F1" w:themeFill="text2" w:themeFillTint="33"/>
            <w:noWrap/>
          </w:tcPr>
          <w:p w14:paraId="6AF4DD88" w14:textId="1A8B9179" w:rsidR="00C53C76" w:rsidRPr="00C53C76" w:rsidRDefault="00C53C76" w:rsidP="00C53C76">
            <w:pPr>
              <w:spacing w:before="0"/>
              <w:jc w:val="center"/>
              <w:rPr>
                <w:rFonts w:asciiTheme="minorHAnsi" w:eastAsia="Times New Roman" w:hAnsiTheme="minorHAnsi" w:cstheme="minorHAnsi"/>
                <w:color w:val="000000"/>
                <w:sz w:val="22"/>
                <w:lang w:eastAsia="en-GB"/>
              </w:rPr>
            </w:pPr>
            <w:r w:rsidRPr="00C53C76">
              <w:rPr>
                <w:rFonts w:asciiTheme="minorHAnsi" w:hAnsiTheme="minorHAnsi" w:cstheme="minorHAnsi"/>
                <w:sz w:val="22"/>
              </w:rPr>
              <w:t>7.3</w:t>
            </w:r>
          </w:p>
        </w:tc>
      </w:tr>
    </w:tbl>
    <w:p w14:paraId="0B661ED7"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p w14:paraId="67B9E117" w14:textId="77777777" w:rsidR="000B1816" w:rsidRDefault="000B1816" w:rsidP="000B1816">
      <w:pPr>
        <w:widowControl w:val="0"/>
        <w:autoSpaceDE w:val="0"/>
        <w:autoSpaceDN w:val="0"/>
        <w:spacing w:before="0"/>
        <w:rPr>
          <w:rFonts w:asciiTheme="minorHAnsi" w:eastAsia="Arial" w:hAnsiTheme="minorHAnsi" w:cstheme="minorHAnsi"/>
          <w:sz w:val="22"/>
          <w:lang w:val="en-US"/>
        </w:rPr>
      </w:pPr>
      <w:r w:rsidRPr="00DE4A8A">
        <w:rPr>
          <w:rFonts w:asciiTheme="minorHAnsi" w:eastAsia="Arial" w:hAnsiTheme="minorHAnsi" w:cstheme="minorHAnsi"/>
          <w:sz w:val="22"/>
          <w:lang w:val="en-US"/>
        </w:rPr>
        <w:t>Care hours per day are in line with expectations with nurse-to-patient ratios and acuity levels as monitored through the daily safer care meetings.</w:t>
      </w:r>
      <w:r w:rsidRPr="000B1816">
        <w:rPr>
          <w:rFonts w:asciiTheme="minorHAnsi" w:eastAsia="Arial" w:hAnsiTheme="minorHAnsi" w:cstheme="minorHAnsi"/>
          <w:sz w:val="22"/>
          <w:lang w:val="en-US"/>
        </w:rPr>
        <w:t xml:space="preserve"> </w:t>
      </w:r>
    </w:p>
    <w:p w14:paraId="1A5A5E96" w14:textId="77777777" w:rsidR="00A42EF9" w:rsidRDefault="00A42EF9" w:rsidP="000B1816">
      <w:pPr>
        <w:widowControl w:val="0"/>
        <w:autoSpaceDE w:val="0"/>
        <w:autoSpaceDN w:val="0"/>
        <w:spacing w:before="0"/>
        <w:rPr>
          <w:rFonts w:asciiTheme="minorHAnsi" w:eastAsia="Arial" w:hAnsiTheme="minorHAnsi" w:cstheme="minorHAnsi"/>
          <w:sz w:val="22"/>
          <w:lang w:val="en-US"/>
        </w:rPr>
      </w:pPr>
    </w:p>
    <w:p w14:paraId="688FBB3A" w14:textId="53A80494"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3 </w:t>
      </w:r>
      <w:r w:rsidRPr="000B1816">
        <w:rPr>
          <w:rFonts w:asciiTheme="minorHAnsi" w:eastAsia="Arial" w:hAnsiTheme="minorHAnsi" w:cstheme="minorHAnsi"/>
          <w:sz w:val="22"/>
          <w:lang w:val="en-US"/>
        </w:rPr>
        <w:tab/>
        <w:t xml:space="preserve">Bed closures </w:t>
      </w:r>
    </w:p>
    <w:p w14:paraId="4C41B1D8" w14:textId="367C6AED" w:rsidR="00025FBF" w:rsidRDefault="00E4527E" w:rsidP="00025FBF">
      <w:pPr>
        <w:rPr>
          <w:rFonts w:asciiTheme="minorHAnsi" w:eastAsia="Times New Roman" w:hAnsiTheme="minorHAnsi" w:cstheme="minorHAnsi"/>
          <w:color w:val="000000"/>
          <w:sz w:val="22"/>
        </w:rPr>
      </w:pPr>
      <w:r w:rsidRPr="00A42EF9">
        <w:rPr>
          <w:rFonts w:asciiTheme="minorHAnsi" w:eastAsia="Arial" w:hAnsiTheme="minorHAnsi" w:cstheme="minorHAnsi"/>
          <w:sz w:val="22"/>
          <w:lang w:val="en-US"/>
        </w:rPr>
        <w:t xml:space="preserve">In </w:t>
      </w:r>
      <w:r w:rsidR="00BB0CBD">
        <w:rPr>
          <w:rFonts w:asciiTheme="minorHAnsi" w:eastAsia="Arial" w:hAnsiTheme="minorHAnsi" w:cstheme="minorHAnsi"/>
          <w:sz w:val="22"/>
          <w:lang w:val="en-US"/>
        </w:rPr>
        <w:t>August</w:t>
      </w:r>
      <w:r w:rsidR="00C53C76">
        <w:rPr>
          <w:rFonts w:asciiTheme="minorHAnsi" w:eastAsia="Arial" w:hAnsiTheme="minorHAnsi" w:cstheme="minorHAnsi"/>
          <w:sz w:val="22"/>
          <w:lang w:val="en-US"/>
        </w:rPr>
        <w:t xml:space="preserve"> </w:t>
      </w:r>
      <w:r w:rsidR="00025FBF">
        <w:rPr>
          <w:rFonts w:asciiTheme="minorHAnsi" w:eastAsia="Arial" w:hAnsiTheme="minorHAnsi" w:cstheme="minorHAnsi"/>
          <w:sz w:val="22"/>
          <w:lang w:val="en-US"/>
        </w:rPr>
        <w:t>f</w:t>
      </w:r>
      <w:r w:rsidR="00534E10">
        <w:rPr>
          <w:rFonts w:asciiTheme="minorHAnsi" w:eastAsia="Arial" w:hAnsiTheme="minorHAnsi" w:cstheme="minorHAnsi"/>
          <w:sz w:val="22"/>
          <w:lang w:val="en-US"/>
        </w:rPr>
        <w:t xml:space="preserve">ull ward closures </w:t>
      </w:r>
      <w:r w:rsidR="00FE0AFF">
        <w:rPr>
          <w:rFonts w:asciiTheme="minorHAnsi" w:eastAsia="Arial" w:hAnsiTheme="minorHAnsi" w:cstheme="minorHAnsi"/>
          <w:sz w:val="22"/>
          <w:lang w:val="en-US"/>
        </w:rPr>
        <w:t>were experienced</w:t>
      </w:r>
      <w:r w:rsidR="00534E10">
        <w:rPr>
          <w:rFonts w:asciiTheme="minorHAnsi" w:eastAsia="Arial" w:hAnsiTheme="minorHAnsi" w:cstheme="minorHAnsi"/>
          <w:sz w:val="22"/>
          <w:lang w:val="en-US"/>
        </w:rPr>
        <w:t xml:space="preserve"> on Kenyon, Powys and Sheldon Rheumatology resulting in 626</w:t>
      </w:r>
      <w:r w:rsidR="00025FBF">
        <w:rPr>
          <w:rFonts w:asciiTheme="minorHAnsi" w:eastAsia="Arial" w:hAnsiTheme="minorHAnsi" w:cstheme="minorHAnsi"/>
          <w:sz w:val="22"/>
          <w:lang w:val="en-US"/>
        </w:rPr>
        <w:t xml:space="preserve"> bed closures.</w:t>
      </w:r>
      <w:r w:rsidR="00025FBF" w:rsidRPr="00025FBF">
        <w:rPr>
          <w:rFonts w:asciiTheme="minorHAnsi" w:eastAsia="Arial" w:hAnsiTheme="minorHAnsi" w:cstheme="minorHAnsi"/>
          <w:sz w:val="22"/>
          <w:lang w:val="en-US"/>
        </w:rPr>
        <w:t xml:space="preserve"> </w:t>
      </w:r>
      <w:r w:rsidR="00025FBF" w:rsidRPr="00A42EF9">
        <w:rPr>
          <w:rFonts w:asciiTheme="minorHAnsi" w:eastAsia="Arial" w:hAnsiTheme="minorHAnsi" w:cstheme="minorHAnsi"/>
          <w:sz w:val="22"/>
          <w:lang w:val="en-US"/>
        </w:rPr>
        <w:t>Once again</w:t>
      </w:r>
      <w:r w:rsidR="00025FBF">
        <w:rPr>
          <w:rFonts w:asciiTheme="minorHAnsi" w:eastAsia="Arial" w:hAnsiTheme="minorHAnsi" w:cstheme="minorHAnsi"/>
          <w:sz w:val="22"/>
          <w:lang w:val="en-US"/>
        </w:rPr>
        <w:t>, August</w:t>
      </w:r>
      <w:r w:rsidR="00025FBF" w:rsidRPr="00A42EF9">
        <w:rPr>
          <w:rFonts w:asciiTheme="minorHAnsi" w:eastAsia="Times New Roman" w:hAnsiTheme="minorHAnsi" w:cstheme="minorHAnsi"/>
          <w:color w:val="000000"/>
          <w:sz w:val="22"/>
        </w:rPr>
        <w:t xml:space="preserve"> was an unusual month in that there </w:t>
      </w:r>
      <w:r w:rsidR="00025FBF">
        <w:rPr>
          <w:rFonts w:asciiTheme="minorHAnsi" w:eastAsia="Times New Roman" w:hAnsiTheme="minorHAnsi" w:cstheme="minorHAnsi"/>
          <w:color w:val="000000"/>
          <w:sz w:val="22"/>
        </w:rPr>
        <w:t>was yet more strike action resulting in patient cancellations</w:t>
      </w:r>
      <w:r w:rsidR="00025FBF" w:rsidRPr="00025FBF">
        <w:rPr>
          <w:rFonts w:asciiTheme="minorHAnsi" w:eastAsia="Times New Roman" w:hAnsiTheme="minorHAnsi" w:cstheme="minorHAnsi"/>
          <w:color w:val="000000"/>
          <w:sz w:val="22"/>
        </w:rPr>
        <w:t xml:space="preserve">. As a </w:t>
      </w:r>
      <w:proofErr w:type="gramStart"/>
      <w:r w:rsidR="00025FBF" w:rsidRPr="00025FBF">
        <w:rPr>
          <w:rFonts w:asciiTheme="minorHAnsi" w:eastAsia="Times New Roman" w:hAnsiTheme="minorHAnsi" w:cstheme="minorHAnsi"/>
          <w:color w:val="000000"/>
          <w:sz w:val="22"/>
        </w:rPr>
        <w:t>result</w:t>
      </w:r>
      <w:proofErr w:type="gramEnd"/>
      <w:r w:rsidR="00025FBF" w:rsidRPr="00025FBF">
        <w:rPr>
          <w:rFonts w:asciiTheme="minorHAnsi" w:eastAsia="Times New Roman" w:hAnsiTheme="minorHAnsi" w:cstheme="minorHAnsi"/>
          <w:color w:val="000000"/>
          <w:sz w:val="22"/>
        </w:rPr>
        <w:t xml:space="preserve"> the elective inpatient bed base was </w:t>
      </w:r>
      <w:r w:rsidR="00D21F52">
        <w:rPr>
          <w:rFonts w:asciiTheme="minorHAnsi" w:eastAsia="Times New Roman" w:hAnsiTheme="minorHAnsi" w:cstheme="minorHAnsi"/>
          <w:color w:val="000000"/>
          <w:sz w:val="22"/>
        </w:rPr>
        <w:t xml:space="preserve">once again </w:t>
      </w:r>
      <w:r w:rsidR="00025FBF" w:rsidRPr="00025FBF">
        <w:rPr>
          <w:rFonts w:asciiTheme="minorHAnsi" w:eastAsia="Times New Roman" w:hAnsiTheme="minorHAnsi" w:cstheme="minorHAnsi"/>
          <w:color w:val="000000"/>
          <w:sz w:val="22"/>
        </w:rPr>
        <w:t xml:space="preserve">flexed to meet the reduced demand </w:t>
      </w:r>
      <w:r w:rsidR="00025FBF">
        <w:rPr>
          <w:rFonts w:asciiTheme="minorHAnsi" w:eastAsia="Times New Roman" w:hAnsiTheme="minorHAnsi" w:cstheme="minorHAnsi"/>
          <w:color w:val="000000"/>
          <w:sz w:val="22"/>
        </w:rPr>
        <w:t>on</w:t>
      </w:r>
      <w:r w:rsidR="00025FBF" w:rsidRPr="00025FBF">
        <w:rPr>
          <w:rFonts w:asciiTheme="minorHAnsi" w:eastAsia="Times New Roman" w:hAnsiTheme="minorHAnsi" w:cstheme="minorHAnsi"/>
          <w:color w:val="000000"/>
          <w:sz w:val="22"/>
        </w:rPr>
        <w:t xml:space="preserve"> Powys and Kenyon </w:t>
      </w:r>
      <w:r w:rsidR="00025FBF">
        <w:rPr>
          <w:rFonts w:asciiTheme="minorHAnsi" w:eastAsia="Times New Roman" w:hAnsiTheme="minorHAnsi" w:cstheme="minorHAnsi"/>
          <w:color w:val="000000"/>
          <w:sz w:val="22"/>
        </w:rPr>
        <w:t>ward.</w:t>
      </w:r>
      <w:r w:rsidR="00DE4A8A">
        <w:rPr>
          <w:rFonts w:asciiTheme="minorHAnsi" w:eastAsia="Times New Roman" w:hAnsiTheme="minorHAnsi" w:cstheme="minorHAnsi"/>
          <w:color w:val="000000"/>
          <w:sz w:val="22"/>
        </w:rPr>
        <w:t xml:space="preserve"> When wards are closed</w:t>
      </w:r>
      <w:r w:rsidR="00233855">
        <w:rPr>
          <w:rFonts w:asciiTheme="minorHAnsi" w:eastAsia="Times New Roman" w:hAnsiTheme="minorHAnsi" w:cstheme="minorHAnsi"/>
          <w:color w:val="000000"/>
          <w:sz w:val="22"/>
        </w:rPr>
        <w:t>,</w:t>
      </w:r>
      <w:r w:rsidR="00DE4A8A">
        <w:rPr>
          <w:rFonts w:asciiTheme="minorHAnsi" w:eastAsia="Times New Roman" w:hAnsiTheme="minorHAnsi" w:cstheme="minorHAnsi"/>
          <w:color w:val="000000"/>
          <w:sz w:val="22"/>
        </w:rPr>
        <w:t xml:space="preserve"> shifts are </w:t>
      </w:r>
      <w:proofErr w:type="gramStart"/>
      <w:r w:rsidR="00DE4A8A">
        <w:rPr>
          <w:rFonts w:asciiTheme="minorHAnsi" w:eastAsia="Times New Roman" w:hAnsiTheme="minorHAnsi" w:cstheme="minorHAnsi"/>
          <w:color w:val="000000"/>
          <w:sz w:val="22"/>
        </w:rPr>
        <w:t>cancelled</w:t>
      </w:r>
      <w:proofErr w:type="gramEnd"/>
      <w:r w:rsidR="00233855">
        <w:rPr>
          <w:rFonts w:asciiTheme="minorHAnsi" w:eastAsia="Times New Roman" w:hAnsiTheme="minorHAnsi" w:cstheme="minorHAnsi"/>
          <w:color w:val="000000"/>
          <w:sz w:val="22"/>
        </w:rPr>
        <w:t xml:space="preserve"> or </w:t>
      </w:r>
      <w:r w:rsidR="00DE4A8A">
        <w:rPr>
          <w:rFonts w:asciiTheme="minorHAnsi" w:eastAsia="Times New Roman" w:hAnsiTheme="minorHAnsi" w:cstheme="minorHAnsi"/>
          <w:color w:val="000000"/>
          <w:sz w:val="22"/>
        </w:rPr>
        <w:t xml:space="preserve">staff are redeployed to vacant shifts elsewhere and as such will not </w:t>
      </w:r>
      <w:proofErr w:type="spellStart"/>
      <w:r w:rsidR="00DE4A8A">
        <w:rPr>
          <w:rFonts w:asciiTheme="minorHAnsi" w:eastAsia="Times New Roman" w:hAnsiTheme="minorHAnsi" w:cstheme="minorHAnsi"/>
          <w:color w:val="000000"/>
          <w:sz w:val="22"/>
        </w:rPr>
        <w:t>effect</w:t>
      </w:r>
      <w:proofErr w:type="spellEnd"/>
      <w:r w:rsidR="00DE4A8A">
        <w:rPr>
          <w:rFonts w:asciiTheme="minorHAnsi" w:eastAsia="Times New Roman" w:hAnsiTheme="minorHAnsi" w:cstheme="minorHAnsi"/>
          <w:color w:val="000000"/>
          <w:sz w:val="22"/>
        </w:rPr>
        <w:t xml:space="preserve"> reporting metric’s for this paper.</w:t>
      </w:r>
    </w:p>
    <w:p w14:paraId="6041A970" w14:textId="0F507DA2" w:rsidR="00534E10" w:rsidRDefault="00534E10" w:rsidP="00A540F2">
      <w:pPr>
        <w:rPr>
          <w:rFonts w:asciiTheme="minorHAnsi" w:eastAsia="Arial" w:hAnsiTheme="minorHAnsi" w:cstheme="minorHAnsi"/>
          <w:sz w:val="22"/>
          <w:lang w:val="en-US"/>
        </w:rPr>
      </w:pPr>
    </w:p>
    <w:p w14:paraId="6B77AF8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W w:w="9498" w:type="dxa"/>
        <w:tblInd w:w="-142" w:type="dxa"/>
        <w:tblLook w:val="04A0" w:firstRow="1" w:lastRow="0" w:firstColumn="1" w:lastColumn="0" w:noHBand="0" w:noVBand="1"/>
      </w:tblPr>
      <w:tblGrid>
        <w:gridCol w:w="3522"/>
        <w:gridCol w:w="1960"/>
        <w:gridCol w:w="1960"/>
        <w:gridCol w:w="2056"/>
      </w:tblGrid>
      <w:tr w:rsidR="000B1816" w:rsidRPr="000B1816" w14:paraId="53032E12" w14:textId="77777777" w:rsidTr="00A57D02">
        <w:trPr>
          <w:trHeight w:val="300"/>
        </w:trPr>
        <w:tc>
          <w:tcPr>
            <w:tcW w:w="3522" w:type="dxa"/>
            <w:vMerge w:val="restart"/>
            <w:tcBorders>
              <w:top w:val="nil"/>
              <w:left w:val="nil"/>
              <w:bottom w:val="nil"/>
              <w:right w:val="nil"/>
            </w:tcBorders>
            <w:shd w:val="clear" w:color="000000" w:fill="0070C0"/>
            <w:vAlign w:val="bottom"/>
            <w:hideMark/>
          </w:tcPr>
          <w:p w14:paraId="6995007D"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Days Closed in Month (All Wards)</w:t>
            </w:r>
          </w:p>
        </w:tc>
        <w:tc>
          <w:tcPr>
            <w:tcW w:w="1960" w:type="dxa"/>
            <w:vMerge w:val="restart"/>
            <w:tcBorders>
              <w:top w:val="nil"/>
              <w:left w:val="nil"/>
              <w:bottom w:val="nil"/>
              <w:right w:val="nil"/>
            </w:tcBorders>
            <w:shd w:val="clear" w:color="000000" w:fill="0070C0"/>
            <w:vAlign w:val="bottom"/>
            <w:hideMark/>
          </w:tcPr>
          <w:p w14:paraId="1440BBC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on Closed Wards</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0070C0"/>
            <w:vAlign w:val="bottom"/>
            <w:hideMark/>
          </w:tcPr>
          <w:p w14:paraId="1270077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Closed on Open Wards</w:t>
            </w:r>
          </w:p>
        </w:tc>
        <w:tc>
          <w:tcPr>
            <w:tcW w:w="2056" w:type="dxa"/>
            <w:tcBorders>
              <w:top w:val="single" w:sz="4" w:space="0" w:color="auto"/>
              <w:left w:val="nil"/>
              <w:bottom w:val="single" w:sz="4" w:space="0" w:color="auto"/>
              <w:right w:val="single" w:sz="4" w:space="0" w:color="auto"/>
            </w:tcBorders>
            <w:shd w:val="clear" w:color="000000" w:fill="0070C0"/>
            <w:vAlign w:val="center"/>
            <w:hideMark/>
          </w:tcPr>
          <w:p w14:paraId="6EDA97EC" w14:textId="77777777" w:rsidR="000B1816" w:rsidRPr="000B1816" w:rsidRDefault="000B1816" w:rsidP="000B1816">
            <w:pPr>
              <w:spacing w:before="0"/>
              <w:jc w:val="center"/>
              <w:rPr>
                <w:rFonts w:ascii="Calibri" w:eastAsia="Times New Roman" w:hAnsi="Calibri" w:cs="Calibri"/>
                <w:b/>
                <w:bCs/>
                <w:color w:val="FFFFFF"/>
                <w:sz w:val="22"/>
                <w:lang w:eastAsia="en-GB"/>
              </w:rPr>
            </w:pPr>
            <w:r w:rsidRPr="000B1816">
              <w:rPr>
                <w:rFonts w:ascii="Calibri" w:eastAsia="Times New Roman" w:hAnsi="Calibri" w:cs="Calibri"/>
                <w:b/>
                <w:bCs/>
                <w:color w:val="FFFFFF"/>
                <w:sz w:val="22"/>
                <w:lang w:eastAsia="en-GB"/>
              </w:rPr>
              <w:t>Grand Total</w:t>
            </w:r>
          </w:p>
        </w:tc>
      </w:tr>
      <w:tr w:rsidR="000B1816" w:rsidRPr="000B1816" w14:paraId="439DB47F" w14:textId="77777777" w:rsidTr="00A57D02">
        <w:trPr>
          <w:trHeight w:val="517"/>
        </w:trPr>
        <w:tc>
          <w:tcPr>
            <w:tcW w:w="3522" w:type="dxa"/>
            <w:vMerge/>
            <w:tcBorders>
              <w:top w:val="nil"/>
              <w:left w:val="nil"/>
              <w:bottom w:val="nil"/>
              <w:right w:val="nil"/>
            </w:tcBorders>
            <w:vAlign w:val="center"/>
            <w:hideMark/>
          </w:tcPr>
          <w:p w14:paraId="3C0B53C3"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nil"/>
              <w:left w:val="nil"/>
              <w:bottom w:val="nil"/>
              <w:right w:val="nil"/>
            </w:tcBorders>
            <w:vAlign w:val="center"/>
            <w:hideMark/>
          </w:tcPr>
          <w:p w14:paraId="199936E9"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5DC3EAB"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205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D5CFE8A" w14:textId="0F7C1704" w:rsidR="000B1816" w:rsidRPr="000B1816" w:rsidRDefault="0045134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10</w:t>
            </w:r>
            <w:r w:rsidR="00BB0CBD">
              <w:rPr>
                <w:rFonts w:ascii="Calibri" w:eastAsia="Times New Roman" w:hAnsi="Calibri" w:cs="Calibri"/>
                <w:b/>
                <w:bCs/>
                <w:color w:val="000000"/>
                <w:sz w:val="22"/>
                <w:lang w:eastAsia="en-GB"/>
              </w:rPr>
              <w:t>4</w:t>
            </w:r>
            <w:r>
              <w:rPr>
                <w:rFonts w:ascii="Calibri" w:eastAsia="Times New Roman" w:hAnsi="Calibri" w:cs="Calibri"/>
                <w:b/>
                <w:bCs/>
                <w:color w:val="000000"/>
                <w:sz w:val="22"/>
                <w:lang w:eastAsia="en-GB"/>
              </w:rPr>
              <w:t>4</w:t>
            </w:r>
          </w:p>
        </w:tc>
      </w:tr>
      <w:tr w:rsidR="000B1816" w:rsidRPr="000B1816" w14:paraId="6A23BB54" w14:textId="77777777" w:rsidTr="00A57D02">
        <w:trPr>
          <w:trHeight w:val="300"/>
        </w:trPr>
        <w:tc>
          <w:tcPr>
            <w:tcW w:w="352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22471A" w14:textId="343AE2D0" w:rsidR="000B1816" w:rsidRPr="000B1816" w:rsidRDefault="00BB0CB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33</w:t>
            </w:r>
          </w:p>
        </w:tc>
        <w:tc>
          <w:tcPr>
            <w:tcW w:w="1960" w:type="dxa"/>
            <w:tcBorders>
              <w:top w:val="single" w:sz="4" w:space="0" w:color="auto"/>
              <w:left w:val="nil"/>
              <w:bottom w:val="single" w:sz="4" w:space="0" w:color="auto"/>
              <w:right w:val="nil"/>
            </w:tcBorders>
            <w:shd w:val="clear" w:color="000000" w:fill="D9E1F2"/>
            <w:noWrap/>
            <w:vAlign w:val="bottom"/>
            <w:hideMark/>
          </w:tcPr>
          <w:p w14:paraId="020E778E" w14:textId="2AE03809" w:rsidR="000B1816" w:rsidRPr="000B1816" w:rsidRDefault="00BB0CB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626</w:t>
            </w:r>
          </w:p>
        </w:tc>
        <w:tc>
          <w:tcPr>
            <w:tcW w:w="1960" w:type="dxa"/>
            <w:tcBorders>
              <w:top w:val="nil"/>
              <w:left w:val="single" w:sz="4" w:space="0" w:color="auto"/>
              <w:bottom w:val="single" w:sz="4" w:space="0" w:color="auto"/>
              <w:right w:val="single" w:sz="4" w:space="0" w:color="auto"/>
            </w:tcBorders>
            <w:shd w:val="clear" w:color="000000" w:fill="D9E1F2"/>
            <w:noWrap/>
            <w:vAlign w:val="bottom"/>
            <w:hideMark/>
          </w:tcPr>
          <w:p w14:paraId="000D4487" w14:textId="5E410DDE" w:rsidR="000B1816" w:rsidRPr="000B1816" w:rsidRDefault="00BB0CB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418</w:t>
            </w:r>
          </w:p>
        </w:tc>
        <w:tc>
          <w:tcPr>
            <w:tcW w:w="2056" w:type="dxa"/>
            <w:vMerge/>
            <w:tcBorders>
              <w:top w:val="single" w:sz="4" w:space="0" w:color="auto"/>
              <w:left w:val="single" w:sz="4" w:space="0" w:color="auto"/>
              <w:bottom w:val="single" w:sz="4" w:space="0" w:color="000000"/>
              <w:right w:val="single" w:sz="4" w:space="0" w:color="auto"/>
            </w:tcBorders>
            <w:vAlign w:val="center"/>
            <w:hideMark/>
          </w:tcPr>
          <w:p w14:paraId="180A9C88" w14:textId="77777777" w:rsidR="000B1816" w:rsidRPr="000B1816" w:rsidRDefault="000B1816" w:rsidP="000B1816">
            <w:pPr>
              <w:spacing w:before="0"/>
              <w:rPr>
                <w:rFonts w:ascii="Calibri" w:eastAsia="Times New Roman" w:hAnsi="Calibri" w:cs="Calibri"/>
                <w:b/>
                <w:bCs/>
                <w:color w:val="000000"/>
                <w:sz w:val="22"/>
                <w:lang w:eastAsia="en-GB"/>
              </w:rPr>
            </w:pPr>
          </w:p>
        </w:tc>
      </w:tr>
    </w:tbl>
    <w:p w14:paraId="2495F5B9" w14:textId="77777777" w:rsidR="000B1816" w:rsidRDefault="000B1816" w:rsidP="00B95CDD">
      <w:pPr>
        <w:pBdr>
          <w:bottom w:val="single" w:sz="4" w:space="1" w:color="auto"/>
        </w:pBdr>
        <w:ind w:left="709" w:hanging="709"/>
        <w:rPr>
          <w:rFonts w:cs="Arial"/>
          <w:b/>
          <w:sz w:val="22"/>
          <w:szCs w:val="18"/>
        </w:rPr>
      </w:pPr>
    </w:p>
    <w:p w14:paraId="1C842154" w14:textId="3C1A46D3" w:rsidR="000B1816" w:rsidRPr="000B1816" w:rsidRDefault="000B1816" w:rsidP="000B1816">
      <w:pPr>
        <w:pStyle w:val="ListParagraph"/>
        <w:numPr>
          <w:ilvl w:val="0"/>
          <w:numId w:val="28"/>
        </w:numPr>
        <w:pBdr>
          <w:bottom w:val="single" w:sz="4" w:space="1" w:color="auto"/>
        </w:pBdr>
        <w:rPr>
          <w:rFonts w:cs="Arial"/>
          <w:i/>
          <w:sz w:val="20"/>
        </w:rPr>
      </w:pPr>
      <w:r w:rsidRPr="000B1816">
        <w:rPr>
          <w:rFonts w:cs="Arial"/>
          <w:b/>
          <w:sz w:val="22"/>
          <w:szCs w:val="18"/>
        </w:rPr>
        <w:t xml:space="preserve">Governance </w:t>
      </w:r>
      <w:r w:rsidR="00996ADB" w:rsidRPr="000B1816">
        <w:rPr>
          <w:rFonts w:cs="Arial"/>
          <w:b/>
          <w:sz w:val="22"/>
          <w:szCs w:val="18"/>
        </w:rPr>
        <w:tab/>
      </w:r>
      <w:r w:rsidR="00BF5D87">
        <w:rPr>
          <w:rFonts w:cs="Arial"/>
          <w:b/>
          <w:sz w:val="22"/>
          <w:szCs w:val="18"/>
        </w:rPr>
        <w:t xml:space="preserve">- Quality and safety </w:t>
      </w:r>
    </w:p>
    <w:p w14:paraId="4A5B1DE0" w14:textId="77777777" w:rsidR="000B1816" w:rsidRPr="005D69AB" w:rsidRDefault="000B1816" w:rsidP="000B1816">
      <w:pPr>
        <w:pStyle w:val="Heading2"/>
        <w:rPr>
          <w:rFonts w:asciiTheme="minorHAnsi" w:eastAsiaTheme="minorHAnsi" w:hAnsiTheme="minorHAnsi" w:cstheme="minorHAnsi"/>
          <w:sz w:val="22"/>
          <w:szCs w:val="22"/>
        </w:rPr>
      </w:pPr>
      <w:r w:rsidRPr="005D69AB">
        <w:rPr>
          <w:rFonts w:asciiTheme="minorHAnsi" w:eastAsiaTheme="minorHAnsi" w:hAnsiTheme="minorHAnsi" w:cstheme="minorHAnsi"/>
          <w:sz w:val="22"/>
          <w:szCs w:val="22"/>
        </w:rPr>
        <w:t>Current Governance and Oversight</w:t>
      </w:r>
    </w:p>
    <w:p w14:paraId="2495FF01" w14:textId="77777777" w:rsidR="000B1816" w:rsidRPr="005D69AB" w:rsidRDefault="000B1816" w:rsidP="000B1816">
      <w:pPr>
        <w:rPr>
          <w:rFonts w:asciiTheme="minorHAnsi" w:hAnsiTheme="minorHAnsi" w:cstheme="minorHAnsi"/>
        </w:rPr>
      </w:pPr>
    </w:p>
    <w:p w14:paraId="2964A108" w14:textId="089799CF" w:rsidR="000B1816" w:rsidRPr="005D69AB" w:rsidRDefault="00FA6C7A" w:rsidP="000B1816">
      <w:pPr>
        <w:pStyle w:val="BodyText"/>
        <w:rPr>
          <w:rFonts w:asciiTheme="minorHAnsi" w:hAnsiTheme="minorHAnsi" w:cstheme="minorHAnsi"/>
        </w:rPr>
      </w:pPr>
      <w:r>
        <w:rPr>
          <w:rFonts w:asciiTheme="minorHAnsi" w:hAnsiTheme="minorHAnsi" w:cstheme="minorHAnsi"/>
        </w:rPr>
        <w:t>Twice d</w:t>
      </w:r>
      <w:r w:rsidR="000B1816" w:rsidRPr="005D69AB">
        <w:rPr>
          <w:rFonts w:asciiTheme="minorHAnsi" w:hAnsiTheme="minorHAnsi" w:cstheme="minorHAnsi"/>
        </w:rPr>
        <w:t>aily assurance on staffing levels for nursing is provided by staffing ‘State of Play’ meeting</w:t>
      </w:r>
      <w:r w:rsidR="00171D3F">
        <w:rPr>
          <w:rFonts w:asciiTheme="minorHAnsi" w:hAnsiTheme="minorHAnsi" w:cstheme="minorHAnsi"/>
        </w:rPr>
        <w:t>s</w:t>
      </w:r>
      <w:r w:rsidR="000B1816" w:rsidRPr="005D69AB">
        <w:rPr>
          <w:rFonts w:asciiTheme="minorHAnsi" w:hAnsiTheme="minorHAnsi" w:cstheme="minorHAnsi"/>
        </w:rPr>
        <w:t xml:space="preserve"> which addresses any staffing issues on the day such as short notice sickness, absence, acuity/dependency of the patients.  The units/wards work together to address any staffing gaps with last resort of escalation to agencies. The use of the Safe Care software program at the state of play meetings supports the managers to understand where to deploy staff to ensure all areas are as safely staffed as possible. </w:t>
      </w:r>
    </w:p>
    <w:p w14:paraId="14827751" w14:textId="77777777" w:rsidR="000B1816" w:rsidRPr="005D69AB" w:rsidRDefault="000B1816" w:rsidP="000B1816">
      <w:pPr>
        <w:pStyle w:val="BodyText"/>
        <w:rPr>
          <w:rFonts w:asciiTheme="minorHAnsi" w:hAnsiTheme="minorHAnsi" w:cstheme="minorHAnsi"/>
        </w:rPr>
      </w:pPr>
    </w:p>
    <w:p w14:paraId="6C2815DF" w14:textId="5DB8D54D" w:rsidR="000B1816" w:rsidRDefault="00DE4A8A" w:rsidP="000B1816">
      <w:pPr>
        <w:pStyle w:val="BodyText"/>
        <w:rPr>
          <w:rFonts w:asciiTheme="minorHAnsi" w:hAnsiTheme="minorHAnsi" w:cstheme="minorHAnsi"/>
        </w:rPr>
      </w:pPr>
      <w:r>
        <w:rPr>
          <w:rFonts w:asciiTheme="minorHAnsi" w:hAnsiTheme="minorHAnsi" w:cstheme="minorHAnsi"/>
        </w:rPr>
        <w:t>Prior to each weekend</w:t>
      </w:r>
      <w:r w:rsidR="00171D3F">
        <w:rPr>
          <w:rFonts w:asciiTheme="minorHAnsi" w:hAnsiTheme="minorHAnsi" w:cstheme="minorHAnsi"/>
        </w:rPr>
        <w:t>,</w:t>
      </w:r>
      <w:r>
        <w:rPr>
          <w:rFonts w:asciiTheme="minorHAnsi" w:hAnsiTheme="minorHAnsi" w:cstheme="minorHAnsi"/>
        </w:rPr>
        <w:t xml:space="preserve"> discussions are held at the State of Play meeting</w:t>
      </w:r>
      <w:r w:rsidR="00171D3F">
        <w:rPr>
          <w:rFonts w:asciiTheme="minorHAnsi" w:hAnsiTheme="minorHAnsi" w:cstheme="minorHAnsi"/>
        </w:rPr>
        <w:t>s</w:t>
      </w:r>
      <w:r>
        <w:rPr>
          <w:rFonts w:asciiTheme="minorHAnsi" w:hAnsiTheme="minorHAnsi" w:cstheme="minorHAnsi"/>
        </w:rPr>
        <w:t xml:space="preserve"> </w:t>
      </w:r>
      <w:r w:rsidR="000B1816" w:rsidRPr="005D69AB">
        <w:rPr>
          <w:rFonts w:asciiTheme="minorHAnsi" w:hAnsiTheme="minorHAnsi" w:cstheme="minorHAnsi"/>
        </w:rPr>
        <w:t xml:space="preserve">to assure the staffing for the week and weekend takes place </w:t>
      </w:r>
      <w:r>
        <w:rPr>
          <w:rFonts w:asciiTheme="minorHAnsi" w:hAnsiTheme="minorHAnsi" w:cstheme="minorHAnsi"/>
        </w:rPr>
        <w:t xml:space="preserve">Lead by </w:t>
      </w:r>
      <w:r w:rsidR="000B1816" w:rsidRPr="005D69AB">
        <w:rPr>
          <w:rFonts w:asciiTheme="minorHAnsi" w:hAnsiTheme="minorHAnsi" w:cstheme="minorHAnsi"/>
        </w:rPr>
        <w:t xml:space="preserve">the </w:t>
      </w:r>
      <w:r>
        <w:rPr>
          <w:rFonts w:asciiTheme="minorHAnsi" w:hAnsiTheme="minorHAnsi" w:cstheme="minorHAnsi"/>
        </w:rPr>
        <w:t>Unit Matrons</w:t>
      </w:r>
      <w:r w:rsidR="000B1816" w:rsidRPr="005D69AB">
        <w:rPr>
          <w:rFonts w:asciiTheme="minorHAnsi" w:hAnsiTheme="minorHAnsi" w:cstheme="minorHAnsi"/>
        </w:rPr>
        <w:t>. Any escalation for additional staffing is requested through these meetings, usually related to increased levels of supervision, enhanced care needs or additional support for Mental Health care.  The opening and closure of any beds due to outbreaks or other needs are discussed and staffing levels are agreed appropriately to ensure safety and quality of care for patients.</w:t>
      </w:r>
    </w:p>
    <w:p w14:paraId="096F1287" w14:textId="377A6CDD"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 xml:space="preserve">Open Red flags </w:t>
      </w:r>
    </w:p>
    <w:p w14:paraId="052687BC" w14:textId="77777777" w:rsidR="000B1816" w:rsidRDefault="000B1816" w:rsidP="000B1816">
      <w:pPr>
        <w:pStyle w:val="BodyText"/>
        <w:rPr>
          <w:rFonts w:asciiTheme="minorHAnsi" w:hAnsiTheme="minorHAnsi" w:cstheme="minorHAnsi"/>
        </w:rPr>
      </w:pPr>
    </w:p>
    <w:p w14:paraId="5BE4FE2F" w14:textId="00E43A65" w:rsidR="000B1816" w:rsidRDefault="000B1816" w:rsidP="000B1816">
      <w:pPr>
        <w:pStyle w:val="BodyText"/>
        <w:rPr>
          <w:rFonts w:asciiTheme="minorHAnsi" w:hAnsiTheme="minorHAnsi" w:cstheme="minorHAnsi"/>
        </w:rPr>
      </w:pPr>
      <w:r w:rsidRPr="00237A2B">
        <w:rPr>
          <w:rFonts w:asciiTheme="minorHAnsi" w:hAnsiTheme="minorHAnsi" w:cstheme="minorHAnsi"/>
        </w:rPr>
        <w:t xml:space="preserve">In line with the safer staffing requirements, red flags are reported where there is a shortfall of more than eight hours or 25% (whichever is reached first) of registered nurse time available compared with the actual requirement for the shift or where fewer than two registered nurses are present on a ward during any shift. </w:t>
      </w:r>
    </w:p>
    <w:p w14:paraId="416984E4" w14:textId="77777777" w:rsidR="00FA6C7A" w:rsidRPr="00237A2B" w:rsidRDefault="00FA6C7A" w:rsidP="000B1816">
      <w:pPr>
        <w:pStyle w:val="BodyText"/>
        <w:rPr>
          <w:rFonts w:asciiTheme="minorHAnsi" w:hAnsiTheme="minorHAnsi" w:cstheme="minorHAnsi"/>
        </w:rPr>
      </w:pPr>
    </w:p>
    <w:p w14:paraId="27384A21" w14:textId="626E3F9C" w:rsidR="000B1816" w:rsidRPr="00BF1545" w:rsidRDefault="00237A2B" w:rsidP="00930CF4">
      <w:pPr>
        <w:pStyle w:val="BodyText"/>
        <w:rPr>
          <w:rFonts w:asciiTheme="minorHAnsi" w:hAnsiTheme="minorHAnsi" w:cstheme="minorHAnsi"/>
          <w:sz w:val="20"/>
          <w:szCs w:val="20"/>
        </w:rPr>
      </w:pPr>
      <w:r w:rsidRPr="00930CF4">
        <w:rPr>
          <w:rFonts w:asciiTheme="minorHAnsi" w:hAnsiTheme="minorHAnsi" w:cstheme="minorHAnsi"/>
        </w:rPr>
        <w:t>There w</w:t>
      </w:r>
      <w:r w:rsidR="00930CF4" w:rsidRPr="00930CF4">
        <w:rPr>
          <w:rFonts w:asciiTheme="minorHAnsi" w:hAnsiTheme="minorHAnsi" w:cstheme="minorHAnsi"/>
        </w:rPr>
        <w:t xml:space="preserve">ere no </w:t>
      </w:r>
      <w:r w:rsidR="00DE4A8A">
        <w:rPr>
          <w:rFonts w:asciiTheme="minorHAnsi" w:hAnsiTheme="minorHAnsi" w:cstheme="minorHAnsi"/>
        </w:rPr>
        <w:t xml:space="preserve">unresolved </w:t>
      </w:r>
      <w:r w:rsidR="00930CF4" w:rsidRPr="00930CF4">
        <w:rPr>
          <w:rFonts w:asciiTheme="minorHAnsi" w:hAnsiTheme="minorHAnsi" w:cstheme="minorHAnsi"/>
        </w:rPr>
        <w:t>red flags for either Unit.</w:t>
      </w:r>
    </w:p>
    <w:p w14:paraId="2D4FC9EF" w14:textId="77777777" w:rsidR="00BF1545" w:rsidRDefault="00BF1545" w:rsidP="000B1816">
      <w:pPr>
        <w:pStyle w:val="BodyText"/>
        <w:rPr>
          <w:rFonts w:asciiTheme="minorHAnsi" w:hAnsiTheme="minorHAnsi" w:cstheme="minorHAnsi"/>
          <w:color w:val="548DD4" w:themeColor="text2" w:themeTint="99"/>
        </w:rPr>
      </w:pPr>
    </w:p>
    <w:p w14:paraId="1FA2E8DA" w14:textId="703E9E67" w:rsidR="000B1816" w:rsidRPr="002A760E" w:rsidRDefault="000B1816" w:rsidP="000B1816">
      <w:pPr>
        <w:pStyle w:val="BodyText"/>
        <w:rPr>
          <w:rFonts w:asciiTheme="minorHAnsi" w:hAnsiTheme="minorHAnsi" w:cstheme="minorHAnsi"/>
          <w:color w:val="548DD4" w:themeColor="text2" w:themeTint="99"/>
        </w:rPr>
      </w:pPr>
      <w:r w:rsidRPr="002A760E">
        <w:rPr>
          <w:rFonts w:asciiTheme="minorHAnsi" w:hAnsiTheme="minorHAnsi" w:cstheme="minorHAnsi"/>
          <w:color w:val="548DD4" w:themeColor="text2" w:themeTint="99"/>
        </w:rPr>
        <w:t xml:space="preserve">Bank and agency </w:t>
      </w:r>
      <w:proofErr w:type="gramStart"/>
      <w:r w:rsidRPr="002A760E">
        <w:rPr>
          <w:rFonts w:asciiTheme="minorHAnsi" w:hAnsiTheme="minorHAnsi" w:cstheme="minorHAnsi"/>
          <w:color w:val="548DD4" w:themeColor="text2" w:themeTint="99"/>
        </w:rPr>
        <w:t>spend</w:t>
      </w:r>
      <w:proofErr w:type="gramEnd"/>
    </w:p>
    <w:p w14:paraId="47CBB8A7" w14:textId="77777777" w:rsidR="000B1816" w:rsidRDefault="000B1816" w:rsidP="000B1816">
      <w:pPr>
        <w:pStyle w:val="BodyText"/>
        <w:rPr>
          <w:rFonts w:asciiTheme="minorHAnsi" w:hAnsiTheme="minorHAnsi" w:cstheme="minorHAnsi"/>
        </w:rPr>
      </w:pPr>
    </w:p>
    <w:p w14:paraId="1375374F" w14:textId="4FE6D523" w:rsidR="00C11F93" w:rsidRDefault="00C11F93" w:rsidP="000B1816">
      <w:pPr>
        <w:pStyle w:val="BodyText"/>
        <w:rPr>
          <w:rFonts w:asciiTheme="minorHAnsi" w:hAnsiTheme="minorHAnsi" w:cstheme="minorHAnsi"/>
        </w:rPr>
      </w:pPr>
      <w:proofErr w:type="gramStart"/>
      <w:r w:rsidRPr="00C11F93">
        <w:rPr>
          <w:rFonts w:asciiTheme="minorHAnsi" w:hAnsiTheme="minorHAnsi" w:cstheme="minorHAnsi"/>
        </w:rPr>
        <w:t>Overall</w:t>
      </w:r>
      <w:proofErr w:type="gramEnd"/>
      <w:r w:rsidRPr="00C11F93">
        <w:rPr>
          <w:rFonts w:asciiTheme="minorHAnsi" w:hAnsiTheme="minorHAnsi" w:cstheme="minorHAnsi"/>
        </w:rPr>
        <w:t xml:space="preserve"> both divisions saw a reduction in agency spend, this is reflective of a reduction in activity, ward closures and </w:t>
      </w:r>
      <w:proofErr w:type="spellStart"/>
      <w:r w:rsidRPr="00C11F93">
        <w:rPr>
          <w:rFonts w:asciiTheme="minorHAnsi" w:hAnsiTheme="minorHAnsi" w:cstheme="minorHAnsi"/>
        </w:rPr>
        <w:t>indrustrial</w:t>
      </w:r>
      <w:proofErr w:type="spellEnd"/>
      <w:r w:rsidRPr="00C11F93">
        <w:rPr>
          <w:rFonts w:asciiTheme="minorHAnsi" w:hAnsiTheme="minorHAnsi" w:cstheme="minorHAnsi"/>
        </w:rPr>
        <w:t xml:space="preserve"> action</w:t>
      </w:r>
      <w:r w:rsidR="00DE4A8A">
        <w:rPr>
          <w:rFonts w:asciiTheme="minorHAnsi" w:hAnsiTheme="minorHAnsi" w:cstheme="minorHAnsi"/>
        </w:rPr>
        <w:t xml:space="preserve"> and decreased vacancy rates</w:t>
      </w:r>
      <w:r w:rsidRPr="00C11F93">
        <w:rPr>
          <w:rFonts w:asciiTheme="minorHAnsi" w:hAnsiTheme="minorHAnsi" w:cstheme="minorHAnsi"/>
        </w:rPr>
        <w:t xml:space="preserve">. </w:t>
      </w:r>
    </w:p>
    <w:p w14:paraId="71423F56" w14:textId="77777777" w:rsidR="00C11F93" w:rsidRDefault="00C11F93" w:rsidP="000B1816">
      <w:pPr>
        <w:pStyle w:val="BodyText"/>
        <w:rPr>
          <w:rFonts w:asciiTheme="minorHAnsi" w:hAnsiTheme="minorHAnsi" w:cstheme="minorHAnsi"/>
        </w:rPr>
      </w:pPr>
    </w:p>
    <w:p w14:paraId="28C31011" w14:textId="6D2AFAD9" w:rsidR="00392A4C" w:rsidRDefault="000B1816" w:rsidP="000B1816">
      <w:pPr>
        <w:pStyle w:val="BodyText"/>
        <w:rPr>
          <w:rFonts w:asciiTheme="minorHAnsi" w:hAnsiTheme="minorHAnsi" w:cstheme="minorHAnsi"/>
        </w:rPr>
      </w:pPr>
      <w:r>
        <w:rPr>
          <w:rFonts w:asciiTheme="minorHAnsi" w:hAnsiTheme="minorHAnsi" w:cstheme="minorHAnsi"/>
        </w:rPr>
        <w:lastRenderedPageBreak/>
        <w:t xml:space="preserve">The trust </w:t>
      </w:r>
      <w:r w:rsidR="00392A4C">
        <w:rPr>
          <w:rFonts w:asciiTheme="minorHAnsi" w:hAnsiTheme="minorHAnsi" w:cstheme="minorHAnsi"/>
        </w:rPr>
        <w:t>has eliminated</w:t>
      </w:r>
      <w:r>
        <w:rPr>
          <w:rFonts w:asciiTheme="minorHAnsi" w:hAnsiTheme="minorHAnsi" w:cstheme="minorHAnsi"/>
        </w:rPr>
        <w:t xml:space="preserve"> HC</w:t>
      </w:r>
      <w:r w:rsidR="00233855">
        <w:rPr>
          <w:rFonts w:asciiTheme="minorHAnsi" w:hAnsiTheme="minorHAnsi" w:cstheme="minorHAnsi"/>
        </w:rPr>
        <w:t>SW</w:t>
      </w:r>
      <w:r>
        <w:rPr>
          <w:rFonts w:asciiTheme="minorHAnsi" w:hAnsiTheme="minorHAnsi" w:cstheme="minorHAnsi"/>
        </w:rPr>
        <w:t xml:space="preserve"> </w:t>
      </w:r>
      <w:r w:rsidR="00392A4C">
        <w:rPr>
          <w:rFonts w:asciiTheme="minorHAnsi" w:hAnsiTheme="minorHAnsi" w:cstheme="minorHAnsi"/>
        </w:rPr>
        <w:t>agency spend within in- patient clinical area’s due to successful recruitment within this staff group and expansion of HCSW numbers on the Bank.</w:t>
      </w:r>
    </w:p>
    <w:p w14:paraId="45B248C3" w14:textId="583C9F96" w:rsidR="00357E36" w:rsidRDefault="00392A4C" w:rsidP="000B1816">
      <w:pPr>
        <w:pStyle w:val="BodyText"/>
        <w:rPr>
          <w:rFonts w:asciiTheme="minorHAnsi" w:hAnsiTheme="minorHAnsi" w:cstheme="minorHAnsi"/>
        </w:rPr>
      </w:pPr>
      <w:r>
        <w:rPr>
          <w:rFonts w:asciiTheme="minorHAnsi" w:hAnsiTheme="minorHAnsi" w:cstheme="minorHAnsi"/>
        </w:rPr>
        <w:t xml:space="preserve"> </w:t>
      </w:r>
    </w:p>
    <w:p w14:paraId="2FF35D8D" w14:textId="77777777"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Registered Nurses</w:t>
      </w:r>
    </w:p>
    <w:p w14:paraId="2658B5AD" w14:textId="77777777" w:rsidR="000B1816" w:rsidRPr="005D69AB" w:rsidRDefault="000B1816" w:rsidP="000B1816">
      <w:pPr>
        <w:widowControl w:val="0"/>
        <w:tabs>
          <w:tab w:val="left" w:pos="1043"/>
        </w:tabs>
        <w:autoSpaceDE w:val="0"/>
        <w:autoSpaceDN w:val="0"/>
        <w:spacing w:before="0"/>
        <w:rPr>
          <w:rFonts w:asciiTheme="minorHAnsi" w:hAnsiTheme="minorHAnsi" w:cstheme="minorHAnsi"/>
          <w:b/>
        </w:rPr>
      </w:pPr>
    </w:p>
    <w:p w14:paraId="590F8B26" w14:textId="3E715E64" w:rsidR="00131C81" w:rsidRDefault="000B1816" w:rsidP="000B1816">
      <w:pPr>
        <w:pStyle w:val="BodyText"/>
        <w:rPr>
          <w:rFonts w:asciiTheme="minorHAnsi" w:hAnsiTheme="minorHAnsi" w:cstheme="minorHAnsi"/>
        </w:rPr>
      </w:pPr>
      <w:r w:rsidRPr="00131C81">
        <w:rPr>
          <w:rFonts w:asciiTheme="minorHAnsi" w:hAnsiTheme="minorHAnsi" w:cstheme="minorHAnsi"/>
        </w:rPr>
        <w:t>Vacancies of registered nurses (RN)</w:t>
      </w:r>
      <w:r w:rsidR="0045134D" w:rsidRPr="00131C81">
        <w:rPr>
          <w:rFonts w:asciiTheme="minorHAnsi" w:hAnsiTheme="minorHAnsi" w:cstheme="minorHAnsi"/>
        </w:rPr>
        <w:t xml:space="preserve"> </w:t>
      </w:r>
      <w:r w:rsidR="00D90033">
        <w:rPr>
          <w:rFonts w:asciiTheme="minorHAnsi" w:hAnsiTheme="minorHAnsi" w:cstheme="minorHAnsi"/>
        </w:rPr>
        <w:t xml:space="preserve">remained static during August </w:t>
      </w:r>
      <w:r w:rsidRPr="00131C81">
        <w:rPr>
          <w:rFonts w:asciiTheme="minorHAnsi" w:hAnsiTheme="minorHAnsi" w:cstheme="minorHAnsi"/>
        </w:rPr>
        <w:t xml:space="preserve">with </w:t>
      </w:r>
      <w:r w:rsidR="0045134D" w:rsidRPr="00131C81">
        <w:rPr>
          <w:rFonts w:asciiTheme="minorHAnsi" w:hAnsiTheme="minorHAnsi" w:cstheme="minorHAnsi"/>
        </w:rPr>
        <w:t>42.</w:t>
      </w:r>
      <w:r w:rsidR="00D90033">
        <w:rPr>
          <w:rFonts w:asciiTheme="minorHAnsi" w:hAnsiTheme="minorHAnsi" w:cstheme="minorHAnsi"/>
        </w:rPr>
        <w:t xml:space="preserve">5 </w:t>
      </w:r>
      <w:r w:rsidRPr="00131C81">
        <w:rPr>
          <w:rFonts w:asciiTheme="minorHAnsi" w:hAnsiTheme="minorHAnsi" w:cstheme="minorHAnsi"/>
        </w:rPr>
        <w:t>WTE vacancies</w:t>
      </w:r>
      <w:r w:rsidR="0045134D" w:rsidRPr="00131C81">
        <w:rPr>
          <w:rFonts w:asciiTheme="minorHAnsi" w:hAnsiTheme="minorHAnsi" w:cstheme="minorHAnsi"/>
        </w:rPr>
        <w:t xml:space="preserve"> recorded</w:t>
      </w:r>
      <w:r w:rsidR="0040289D">
        <w:rPr>
          <w:rFonts w:asciiTheme="minorHAnsi" w:hAnsiTheme="minorHAnsi" w:cstheme="minorHAnsi"/>
        </w:rPr>
        <w:t>,</w:t>
      </w:r>
      <w:r w:rsidR="00D90033">
        <w:rPr>
          <w:rFonts w:asciiTheme="minorHAnsi" w:hAnsiTheme="minorHAnsi" w:cstheme="minorHAnsi"/>
        </w:rPr>
        <w:t xml:space="preserve"> however</w:t>
      </w:r>
      <w:r w:rsidR="0040289D">
        <w:rPr>
          <w:rFonts w:asciiTheme="minorHAnsi" w:hAnsiTheme="minorHAnsi" w:cstheme="minorHAnsi"/>
        </w:rPr>
        <w:t xml:space="preserve"> of those 33.08 WTE are in the recruitment pipeline with </w:t>
      </w:r>
      <w:r w:rsidR="006D3311">
        <w:rPr>
          <w:rFonts w:asciiTheme="minorHAnsi" w:hAnsiTheme="minorHAnsi" w:cstheme="minorHAnsi"/>
        </w:rPr>
        <w:t xml:space="preserve">firm </w:t>
      </w:r>
      <w:r w:rsidR="0040289D">
        <w:rPr>
          <w:rFonts w:asciiTheme="minorHAnsi" w:hAnsiTheme="minorHAnsi" w:cstheme="minorHAnsi"/>
        </w:rPr>
        <w:t>job offers</w:t>
      </w:r>
      <w:r w:rsidR="001002EE">
        <w:rPr>
          <w:rFonts w:asciiTheme="minorHAnsi" w:hAnsiTheme="minorHAnsi" w:cstheme="minorHAnsi"/>
        </w:rPr>
        <w:t xml:space="preserve">, </w:t>
      </w:r>
      <w:r w:rsidR="00D90033">
        <w:rPr>
          <w:rFonts w:asciiTheme="minorHAnsi" w:hAnsiTheme="minorHAnsi" w:cstheme="minorHAnsi"/>
        </w:rPr>
        <w:t>15</w:t>
      </w:r>
      <w:r w:rsidR="001002EE">
        <w:rPr>
          <w:rFonts w:asciiTheme="minorHAnsi" w:hAnsiTheme="minorHAnsi" w:cstheme="minorHAnsi"/>
        </w:rPr>
        <w:t xml:space="preserve"> of those offers being internationally recruited</w:t>
      </w:r>
      <w:r w:rsidR="0031049A">
        <w:rPr>
          <w:rFonts w:asciiTheme="minorHAnsi" w:hAnsiTheme="minorHAnsi" w:cstheme="minorHAnsi"/>
        </w:rPr>
        <w:t xml:space="preserve"> and 12 student offers.</w:t>
      </w:r>
      <w:r w:rsidR="00490A2C">
        <w:rPr>
          <w:rFonts w:asciiTheme="minorHAnsi" w:hAnsiTheme="minorHAnsi" w:cstheme="minorHAnsi"/>
        </w:rPr>
        <w:t xml:space="preserve"> There are </w:t>
      </w:r>
      <w:r w:rsidR="00D90033">
        <w:rPr>
          <w:rFonts w:asciiTheme="minorHAnsi" w:hAnsiTheme="minorHAnsi" w:cstheme="minorHAnsi"/>
        </w:rPr>
        <w:t>10</w:t>
      </w:r>
      <w:r w:rsidR="00490A2C">
        <w:rPr>
          <w:rFonts w:asciiTheme="minorHAnsi" w:hAnsiTheme="minorHAnsi" w:cstheme="minorHAnsi"/>
        </w:rPr>
        <w:t xml:space="preserve"> International vacancies remaining to fill and land by </w:t>
      </w:r>
      <w:r w:rsidR="00D90033">
        <w:rPr>
          <w:rFonts w:asciiTheme="minorHAnsi" w:hAnsiTheme="minorHAnsi" w:cstheme="minorHAnsi"/>
        </w:rPr>
        <w:t>January</w:t>
      </w:r>
      <w:r w:rsidR="00BB07AD">
        <w:rPr>
          <w:rFonts w:asciiTheme="minorHAnsi" w:hAnsiTheme="minorHAnsi" w:cstheme="minorHAnsi"/>
        </w:rPr>
        <w:t xml:space="preserve"> in line with NHSE funding.</w:t>
      </w:r>
    </w:p>
    <w:p w14:paraId="18BDD726" w14:textId="77777777" w:rsidR="001002EE" w:rsidRDefault="001002EE" w:rsidP="000B1816">
      <w:pPr>
        <w:pStyle w:val="BodyText"/>
        <w:rPr>
          <w:rFonts w:asciiTheme="minorHAnsi" w:hAnsiTheme="minorHAnsi" w:cstheme="minorHAnsi"/>
        </w:rPr>
      </w:pPr>
    </w:p>
    <w:p w14:paraId="31D5247D" w14:textId="6CC0CBA6" w:rsidR="00392A4C" w:rsidRDefault="00131C81" w:rsidP="000B1816">
      <w:pPr>
        <w:pStyle w:val="BodyText"/>
        <w:rPr>
          <w:rFonts w:asciiTheme="minorHAnsi" w:hAnsiTheme="minorHAnsi" w:cstheme="minorHAnsi"/>
        </w:rPr>
      </w:pPr>
      <w:r w:rsidRPr="00131C81">
        <w:rPr>
          <w:rFonts w:asciiTheme="minorHAnsi" w:hAnsiTheme="minorHAnsi" w:cstheme="minorHAnsi"/>
        </w:rPr>
        <w:t xml:space="preserve">The current </w:t>
      </w:r>
      <w:r w:rsidR="00392A4C">
        <w:rPr>
          <w:rFonts w:asciiTheme="minorHAnsi" w:hAnsiTheme="minorHAnsi" w:cstheme="minorHAnsi"/>
        </w:rPr>
        <w:t xml:space="preserve">RN </w:t>
      </w:r>
      <w:r w:rsidRPr="00131C81">
        <w:rPr>
          <w:rFonts w:asciiTheme="minorHAnsi" w:hAnsiTheme="minorHAnsi" w:cstheme="minorHAnsi"/>
        </w:rPr>
        <w:t xml:space="preserve">fill rates are </w:t>
      </w:r>
      <w:r w:rsidR="00392A4C">
        <w:rPr>
          <w:rFonts w:asciiTheme="minorHAnsi" w:hAnsiTheme="minorHAnsi" w:cstheme="minorHAnsi"/>
        </w:rPr>
        <w:t xml:space="preserve">very slightly </w:t>
      </w:r>
      <w:r w:rsidRPr="00131C81">
        <w:rPr>
          <w:rFonts w:asciiTheme="minorHAnsi" w:hAnsiTheme="minorHAnsi" w:cstheme="minorHAnsi"/>
        </w:rPr>
        <w:t xml:space="preserve">above target, </w:t>
      </w:r>
      <w:r w:rsidR="00392A4C">
        <w:rPr>
          <w:rFonts w:asciiTheme="minorHAnsi" w:hAnsiTheme="minorHAnsi" w:cstheme="minorHAnsi"/>
        </w:rPr>
        <w:t>this is due to the complex requirements of an individual patient within Specialist Unit needing addition Registered Nurse 1-1 care.</w:t>
      </w:r>
    </w:p>
    <w:p w14:paraId="794AFF94" w14:textId="77777777" w:rsidR="00392A4C" w:rsidRDefault="00392A4C" w:rsidP="000B1816">
      <w:pPr>
        <w:pStyle w:val="BodyText"/>
        <w:rPr>
          <w:rFonts w:asciiTheme="minorHAnsi" w:hAnsiTheme="minorHAnsi" w:cstheme="minorHAnsi"/>
        </w:rPr>
      </w:pPr>
    </w:p>
    <w:p w14:paraId="43396038" w14:textId="09997CCD" w:rsidR="00490A2C" w:rsidRPr="00F46A50" w:rsidRDefault="00490A2C" w:rsidP="00490A2C">
      <w:pPr>
        <w:pStyle w:val="BodyText"/>
        <w:rPr>
          <w:rFonts w:asciiTheme="minorHAnsi" w:hAnsiTheme="minorHAnsi" w:cstheme="minorHAnsi"/>
        </w:rPr>
      </w:pPr>
      <w:r w:rsidRPr="00F46A50">
        <w:rPr>
          <w:rFonts w:asciiTheme="minorHAnsi" w:hAnsiTheme="minorHAnsi" w:cstheme="minorHAnsi"/>
        </w:rPr>
        <w:t xml:space="preserve">The sickness rates for </w:t>
      </w:r>
      <w:proofErr w:type="gramStart"/>
      <w:r w:rsidRPr="00F46A50">
        <w:rPr>
          <w:rFonts w:asciiTheme="minorHAnsi" w:hAnsiTheme="minorHAnsi" w:cstheme="minorHAnsi"/>
        </w:rPr>
        <w:t>RN’s</w:t>
      </w:r>
      <w:proofErr w:type="gramEnd"/>
      <w:r w:rsidRPr="00F46A50">
        <w:rPr>
          <w:rFonts w:asciiTheme="minorHAnsi" w:hAnsiTheme="minorHAnsi" w:cstheme="minorHAnsi"/>
        </w:rPr>
        <w:t xml:space="preserve"> within unit </w:t>
      </w:r>
      <w:r w:rsidR="00F46A50" w:rsidRPr="00F46A50">
        <w:rPr>
          <w:rFonts w:asciiTheme="minorHAnsi" w:hAnsiTheme="minorHAnsi" w:cstheme="minorHAnsi"/>
        </w:rPr>
        <w:t xml:space="preserve">divisions </w:t>
      </w:r>
      <w:r w:rsidRPr="00F46A50">
        <w:rPr>
          <w:rFonts w:asciiTheme="minorHAnsi" w:hAnsiTheme="minorHAnsi" w:cstheme="minorHAnsi"/>
        </w:rPr>
        <w:t>remain above the Trust target of 4%.</w:t>
      </w:r>
    </w:p>
    <w:p w14:paraId="6518C636" w14:textId="6BDDFDE3" w:rsidR="0038737D" w:rsidRPr="005D69AB" w:rsidRDefault="00490A2C" w:rsidP="00490A2C">
      <w:pPr>
        <w:pStyle w:val="BodyText"/>
        <w:rPr>
          <w:rFonts w:asciiTheme="minorHAnsi" w:hAnsiTheme="minorHAnsi" w:cstheme="minorHAnsi"/>
        </w:rPr>
      </w:pPr>
      <w:r w:rsidRPr="00F46A50">
        <w:rPr>
          <w:rFonts w:asciiTheme="minorHAnsi" w:hAnsiTheme="minorHAnsi" w:cstheme="minorHAnsi"/>
        </w:rPr>
        <w:t xml:space="preserve">As noted previously within this paper, the nursing team will continue to support and </w:t>
      </w:r>
      <w:proofErr w:type="gramStart"/>
      <w:r w:rsidRPr="00F46A50">
        <w:rPr>
          <w:rFonts w:asciiTheme="minorHAnsi" w:hAnsiTheme="minorHAnsi" w:cstheme="minorHAnsi"/>
        </w:rPr>
        <w:t>take action</w:t>
      </w:r>
      <w:proofErr w:type="gramEnd"/>
      <w:r w:rsidRPr="00F46A50">
        <w:rPr>
          <w:rFonts w:asciiTheme="minorHAnsi" w:hAnsiTheme="minorHAnsi" w:cstheme="minorHAnsi"/>
        </w:rPr>
        <w:t xml:space="preserve"> on the joint work to address the absences and recruitment and retention work.</w:t>
      </w:r>
    </w:p>
    <w:p w14:paraId="24817267" w14:textId="77777777" w:rsidR="000B7291" w:rsidRDefault="000B7291" w:rsidP="000B1816">
      <w:pPr>
        <w:pStyle w:val="BodyText"/>
        <w:rPr>
          <w:rFonts w:asciiTheme="minorHAnsi" w:hAnsiTheme="minorHAnsi" w:cstheme="minorHAnsi"/>
          <w:highlight w:val="yellow"/>
        </w:rPr>
      </w:pPr>
    </w:p>
    <w:p w14:paraId="3FB63536" w14:textId="3C58F7F8" w:rsidR="000B1816"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 xml:space="preserve">Healthcare </w:t>
      </w:r>
      <w:r w:rsidR="00233855">
        <w:rPr>
          <w:rFonts w:asciiTheme="minorHAnsi" w:hAnsiTheme="minorHAnsi" w:cstheme="minorHAnsi"/>
          <w:sz w:val="22"/>
          <w:szCs w:val="22"/>
        </w:rPr>
        <w:t>Support Workers</w:t>
      </w:r>
      <w:r w:rsidRPr="005D69AB">
        <w:rPr>
          <w:rFonts w:asciiTheme="minorHAnsi" w:hAnsiTheme="minorHAnsi" w:cstheme="minorHAnsi"/>
          <w:sz w:val="22"/>
          <w:szCs w:val="22"/>
        </w:rPr>
        <w:t xml:space="preserve"> (HC</w:t>
      </w:r>
      <w:r w:rsidR="00233855">
        <w:rPr>
          <w:rFonts w:asciiTheme="minorHAnsi" w:hAnsiTheme="minorHAnsi" w:cstheme="minorHAnsi"/>
          <w:sz w:val="22"/>
          <w:szCs w:val="22"/>
        </w:rPr>
        <w:t>SW</w:t>
      </w:r>
      <w:r w:rsidRPr="005D69AB">
        <w:rPr>
          <w:rFonts w:asciiTheme="minorHAnsi" w:hAnsiTheme="minorHAnsi" w:cstheme="minorHAnsi"/>
          <w:sz w:val="22"/>
          <w:szCs w:val="22"/>
        </w:rPr>
        <w:t>s)</w:t>
      </w:r>
    </w:p>
    <w:p w14:paraId="1865F855" w14:textId="67091808" w:rsidR="00644FD7" w:rsidRDefault="003430E3" w:rsidP="000B1816">
      <w:pPr>
        <w:pStyle w:val="BodyText"/>
        <w:rPr>
          <w:rFonts w:asciiTheme="minorHAnsi" w:hAnsiTheme="minorHAnsi" w:cstheme="minorHAnsi"/>
        </w:rPr>
      </w:pPr>
      <w:bookmarkStart w:id="3" w:name="_Hlk143088701"/>
      <w:r>
        <w:rPr>
          <w:rFonts w:asciiTheme="minorHAnsi" w:hAnsiTheme="minorHAnsi" w:cstheme="minorHAnsi"/>
        </w:rPr>
        <w:t>As per the last report</w:t>
      </w:r>
      <w:r w:rsidR="000B1816" w:rsidRPr="005D69AB">
        <w:rPr>
          <w:rFonts w:asciiTheme="minorHAnsi" w:hAnsiTheme="minorHAnsi" w:cstheme="minorHAnsi"/>
        </w:rPr>
        <w:t xml:space="preserve"> the National target of zero HC</w:t>
      </w:r>
      <w:r w:rsidR="00233855">
        <w:rPr>
          <w:rFonts w:asciiTheme="minorHAnsi" w:hAnsiTheme="minorHAnsi" w:cstheme="minorHAnsi"/>
        </w:rPr>
        <w:t>SW</w:t>
      </w:r>
      <w:r w:rsidR="000B1816" w:rsidRPr="005D69AB">
        <w:rPr>
          <w:rFonts w:asciiTheme="minorHAnsi" w:hAnsiTheme="minorHAnsi" w:cstheme="minorHAnsi"/>
        </w:rPr>
        <w:t xml:space="preserve"> vacancies is not being met </w:t>
      </w:r>
      <w:r w:rsidR="00EE47CC">
        <w:rPr>
          <w:rFonts w:asciiTheme="minorHAnsi" w:hAnsiTheme="minorHAnsi" w:cstheme="minorHAnsi"/>
        </w:rPr>
        <w:t>with an</w:t>
      </w:r>
      <w:r w:rsidR="00F46A50">
        <w:rPr>
          <w:rFonts w:asciiTheme="minorHAnsi" w:hAnsiTheme="minorHAnsi" w:cstheme="minorHAnsi"/>
        </w:rPr>
        <w:t>other</w:t>
      </w:r>
      <w:r w:rsidR="00EE47CC">
        <w:rPr>
          <w:rFonts w:asciiTheme="minorHAnsi" w:hAnsiTheme="minorHAnsi" w:cstheme="minorHAnsi"/>
        </w:rPr>
        <w:t xml:space="preserve"> increase reported for </w:t>
      </w:r>
      <w:r w:rsidR="00F46A50">
        <w:rPr>
          <w:rFonts w:asciiTheme="minorHAnsi" w:hAnsiTheme="minorHAnsi" w:cstheme="minorHAnsi"/>
        </w:rPr>
        <w:t>Augus</w:t>
      </w:r>
      <w:r w:rsidR="00644FD7">
        <w:rPr>
          <w:rFonts w:asciiTheme="minorHAnsi" w:hAnsiTheme="minorHAnsi" w:cstheme="minorHAnsi"/>
        </w:rPr>
        <w:t>t</w:t>
      </w:r>
      <w:r w:rsidR="003825D3">
        <w:rPr>
          <w:rFonts w:asciiTheme="minorHAnsi" w:hAnsiTheme="minorHAnsi" w:cstheme="minorHAnsi"/>
        </w:rPr>
        <w:t>. T</w:t>
      </w:r>
      <w:r w:rsidR="00644FD7">
        <w:rPr>
          <w:rFonts w:asciiTheme="minorHAnsi" w:hAnsiTheme="minorHAnsi" w:cstheme="minorHAnsi"/>
        </w:rPr>
        <w:t xml:space="preserve">he </w:t>
      </w:r>
      <w:r w:rsidR="003825D3">
        <w:rPr>
          <w:rFonts w:asciiTheme="minorHAnsi" w:hAnsiTheme="minorHAnsi" w:cstheme="minorHAnsi"/>
        </w:rPr>
        <w:t xml:space="preserve">total </w:t>
      </w:r>
      <w:r w:rsidR="00F46A50">
        <w:rPr>
          <w:rFonts w:asciiTheme="minorHAnsi" w:hAnsiTheme="minorHAnsi" w:cstheme="minorHAnsi"/>
        </w:rPr>
        <w:t>WTE</w:t>
      </w:r>
      <w:r w:rsidR="00EE47CC">
        <w:rPr>
          <w:rFonts w:asciiTheme="minorHAnsi" w:hAnsiTheme="minorHAnsi" w:cstheme="minorHAnsi"/>
        </w:rPr>
        <w:t xml:space="preserve"> vacancy position</w:t>
      </w:r>
      <w:r w:rsidR="00644FD7">
        <w:rPr>
          <w:rFonts w:asciiTheme="minorHAnsi" w:hAnsiTheme="minorHAnsi" w:cstheme="minorHAnsi"/>
        </w:rPr>
        <w:t xml:space="preserve"> record</w:t>
      </w:r>
      <w:r w:rsidR="003825D3">
        <w:rPr>
          <w:rFonts w:asciiTheme="minorHAnsi" w:hAnsiTheme="minorHAnsi" w:cstheme="minorHAnsi"/>
        </w:rPr>
        <w:t>ed for August stood at</w:t>
      </w:r>
      <w:r w:rsidR="00644FD7">
        <w:rPr>
          <w:rFonts w:asciiTheme="minorHAnsi" w:hAnsiTheme="minorHAnsi" w:cstheme="minorHAnsi"/>
        </w:rPr>
        <w:t xml:space="preserve"> </w:t>
      </w:r>
      <w:r w:rsidR="00F46A50">
        <w:rPr>
          <w:rFonts w:asciiTheme="minorHAnsi" w:hAnsiTheme="minorHAnsi" w:cstheme="minorHAnsi"/>
        </w:rPr>
        <w:t>22.72</w:t>
      </w:r>
      <w:r w:rsidR="00644FD7">
        <w:rPr>
          <w:rFonts w:asciiTheme="minorHAnsi" w:hAnsiTheme="minorHAnsi" w:cstheme="minorHAnsi"/>
        </w:rPr>
        <w:t xml:space="preserve"> </w:t>
      </w:r>
      <w:r w:rsidR="003825D3">
        <w:rPr>
          <w:rFonts w:asciiTheme="minorHAnsi" w:hAnsiTheme="minorHAnsi" w:cstheme="minorHAnsi"/>
        </w:rPr>
        <w:t>WTE’s, o</w:t>
      </w:r>
      <w:r w:rsidR="00644FD7" w:rsidRPr="00644FD7">
        <w:rPr>
          <w:rFonts w:asciiTheme="minorHAnsi" w:hAnsiTheme="minorHAnsi" w:cstheme="minorHAnsi"/>
        </w:rPr>
        <w:t xml:space="preserve">f those 22.72 vacancies there </w:t>
      </w:r>
      <w:r w:rsidR="00644FD7">
        <w:rPr>
          <w:rFonts w:asciiTheme="minorHAnsi" w:hAnsiTheme="minorHAnsi" w:cstheme="minorHAnsi"/>
        </w:rPr>
        <w:t>were</w:t>
      </w:r>
      <w:r w:rsidR="00644FD7" w:rsidRPr="00644FD7">
        <w:rPr>
          <w:rFonts w:asciiTheme="minorHAnsi" w:hAnsiTheme="minorHAnsi" w:cstheme="minorHAnsi"/>
        </w:rPr>
        <w:t xml:space="preserve"> 11.77 WTE sat within the recruitment pipeline</w:t>
      </w:r>
      <w:r w:rsidR="003825D3">
        <w:rPr>
          <w:rFonts w:asciiTheme="minorHAnsi" w:hAnsiTheme="minorHAnsi" w:cstheme="minorHAnsi"/>
        </w:rPr>
        <w:t>, with the remaining vacancy positions of 9.48 WTE within specialist Unit (predominantly within MCSI) and 2.28 within MSK.</w:t>
      </w:r>
    </w:p>
    <w:p w14:paraId="3631D3BA" w14:textId="16A0BFF4" w:rsidR="006F3C00" w:rsidRDefault="003825D3" w:rsidP="000B1816">
      <w:pPr>
        <w:pStyle w:val="BodyText"/>
        <w:rPr>
          <w:rFonts w:asciiTheme="minorHAnsi" w:hAnsiTheme="minorHAnsi" w:cstheme="minorHAnsi"/>
        </w:rPr>
      </w:pPr>
      <w:r>
        <w:rPr>
          <w:rFonts w:asciiTheme="minorHAnsi" w:hAnsiTheme="minorHAnsi" w:cstheme="minorHAnsi"/>
        </w:rPr>
        <w:t>(</w:t>
      </w:r>
      <w:r w:rsidR="00644FD7">
        <w:rPr>
          <w:rFonts w:asciiTheme="minorHAnsi" w:hAnsiTheme="minorHAnsi" w:cstheme="minorHAnsi"/>
        </w:rPr>
        <w:t>It is important to note that August did see an increase in budgeted establishment within the Specialist Unit</w:t>
      </w:r>
      <w:r>
        <w:rPr>
          <w:rFonts w:asciiTheme="minorHAnsi" w:hAnsiTheme="minorHAnsi" w:cstheme="minorHAnsi"/>
        </w:rPr>
        <w:t xml:space="preserve"> due to a service level review within </w:t>
      </w:r>
      <w:proofErr w:type="gramStart"/>
      <w:r>
        <w:rPr>
          <w:rFonts w:asciiTheme="minorHAnsi" w:hAnsiTheme="minorHAnsi" w:cstheme="minorHAnsi"/>
        </w:rPr>
        <w:t>MCSI</w:t>
      </w:r>
      <w:r w:rsidR="002E0130">
        <w:rPr>
          <w:rFonts w:asciiTheme="minorHAnsi" w:hAnsiTheme="minorHAnsi" w:cstheme="minorHAnsi"/>
        </w:rPr>
        <w:t xml:space="preserve">, </w:t>
      </w:r>
      <w:r w:rsidR="00644FD7">
        <w:rPr>
          <w:rFonts w:asciiTheme="minorHAnsi" w:hAnsiTheme="minorHAnsi" w:cstheme="minorHAnsi"/>
        </w:rPr>
        <w:t xml:space="preserve"> adding</w:t>
      </w:r>
      <w:proofErr w:type="gramEnd"/>
      <w:r w:rsidR="00644FD7">
        <w:rPr>
          <w:rFonts w:asciiTheme="minorHAnsi" w:hAnsiTheme="minorHAnsi" w:cstheme="minorHAnsi"/>
        </w:rPr>
        <w:t xml:space="preserve"> </w:t>
      </w:r>
      <w:r w:rsidR="002E0130">
        <w:rPr>
          <w:rFonts w:asciiTheme="minorHAnsi" w:hAnsiTheme="minorHAnsi" w:cstheme="minorHAnsi"/>
        </w:rPr>
        <w:t xml:space="preserve">an additional </w:t>
      </w:r>
      <w:r w:rsidR="00644FD7">
        <w:rPr>
          <w:rFonts w:asciiTheme="minorHAnsi" w:hAnsiTheme="minorHAnsi" w:cstheme="minorHAnsi"/>
        </w:rPr>
        <w:t>4.46</w:t>
      </w:r>
      <w:r w:rsidR="002E0130">
        <w:rPr>
          <w:rFonts w:asciiTheme="minorHAnsi" w:hAnsiTheme="minorHAnsi" w:cstheme="minorHAnsi"/>
        </w:rPr>
        <w:t xml:space="preserve"> WTE to the vacancy position</w:t>
      </w:r>
      <w:r>
        <w:rPr>
          <w:rFonts w:asciiTheme="minorHAnsi" w:hAnsiTheme="minorHAnsi" w:cstheme="minorHAnsi"/>
        </w:rPr>
        <w:t>)</w:t>
      </w:r>
      <w:r w:rsidR="002E0130">
        <w:rPr>
          <w:rFonts w:asciiTheme="minorHAnsi" w:hAnsiTheme="minorHAnsi" w:cstheme="minorHAnsi"/>
        </w:rPr>
        <w:t>.</w:t>
      </w:r>
      <w:r>
        <w:rPr>
          <w:rFonts w:asciiTheme="minorHAnsi" w:hAnsiTheme="minorHAnsi" w:cstheme="minorHAnsi"/>
        </w:rPr>
        <w:t xml:space="preserve"> </w:t>
      </w:r>
    </w:p>
    <w:p w14:paraId="45E4BD98" w14:textId="77777777" w:rsidR="006F3C00" w:rsidRDefault="006F3C00" w:rsidP="000B1816">
      <w:pPr>
        <w:pStyle w:val="BodyText"/>
        <w:rPr>
          <w:rFonts w:asciiTheme="minorHAnsi" w:hAnsiTheme="minorHAnsi" w:cstheme="minorHAnsi"/>
        </w:rPr>
      </w:pPr>
    </w:p>
    <w:p w14:paraId="0603BA82" w14:textId="4AB4B79C" w:rsidR="00EE47CC" w:rsidRDefault="00EE47CC" w:rsidP="000B1816">
      <w:pPr>
        <w:pStyle w:val="BodyText"/>
        <w:rPr>
          <w:rFonts w:asciiTheme="minorHAnsi" w:hAnsiTheme="minorHAnsi" w:cstheme="minorHAnsi"/>
        </w:rPr>
      </w:pPr>
      <w:r w:rsidRPr="003A1A4C">
        <w:rPr>
          <w:rFonts w:asciiTheme="minorHAnsi" w:hAnsiTheme="minorHAnsi" w:cstheme="minorHAnsi"/>
        </w:rPr>
        <w:t xml:space="preserve">The </w:t>
      </w:r>
      <w:proofErr w:type="gramStart"/>
      <w:r w:rsidRPr="003A1A4C">
        <w:rPr>
          <w:rFonts w:asciiTheme="minorHAnsi" w:hAnsiTheme="minorHAnsi" w:cstheme="minorHAnsi"/>
        </w:rPr>
        <w:t>ACNs  have</w:t>
      </w:r>
      <w:proofErr w:type="gramEnd"/>
      <w:r w:rsidRPr="003A1A4C">
        <w:rPr>
          <w:rFonts w:asciiTheme="minorHAnsi" w:hAnsiTheme="minorHAnsi" w:cstheme="minorHAnsi"/>
        </w:rPr>
        <w:t xml:space="preserve"> confirm</w:t>
      </w:r>
      <w:r w:rsidR="003A1A4C" w:rsidRPr="003A1A4C">
        <w:rPr>
          <w:rFonts w:asciiTheme="minorHAnsi" w:hAnsiTheme="minorHAnsi" w:cstheme="minorHAnsi"/>
        </w:rPr>
        <w:t>ed</w:t>
      </w:r>
      <w:r w:rsidRPr="003A1A4C">
        <w:rPr>
          <w:rFonts w:asciiTheme="minorHAnsi" w:hAnsiTheme="minorHAnsi" w:cstheme="minorHAnsi"/>
        </w:rPr>
        <w:t xml:space="preserve"> for their respective units the HCSW WTE that they wish to go out to external recruitment so that advertising can be placed without delay.</w:t>
      </w:r>
    </w:p>
    <w:p w14:paraId="55466262" w14:textId="77777777" w:rsidR="00EE47CC" w:rsidRDefault="00EE47CC" w:rsidP="000B1816">
      <w:pPr>
        <w:pStyle w:val="BodyText"/>
        <w:rPr>
          <w:rFonts w:asciiTheme="minorHAnsi" w:hAnsiTheme="minorHAnsi" w:cstheme="minorHAnsi"/>
        </w:rPr>
      </w:pPr>
    </w:p>
    <w:p w14:paraId="3FC43220" w14:textId="7D959DA5" w:rsidR="00306DD6" w:rsidRDefault="00E76F63" w:rsidP="000B1816">
      <w:pPr>
        <w:pStyle w:val="BodyText"/>
        <w:rPr>
          <w:rFonts w:asciiTheme="minorHAnsi" w:hAnsiTheme="minorHAnsi" w:cstheme="minorHAnsi"/>
        </w:rPr>
      </w:pPr>
      <w:r>
        <w:rPr>
          <w:rFonts w:asciiTheme="minorHAnsi" w:hAnsiTheme="minorHAnsi" w:cstheme="minorHAnsi"/>
        </w:rPr>
        <w:t>H</w:t>
      </w:r>
      <w:r w:rsidR="00306DD6">
        <w:rPr>
          <w:rFonts w:asciiTheme="minorHAnsi" w:hAnsiTheme="minorHAnsi" w:cstheme="minorHAnsi"/>
        </w:rPr>
        <w:t>C</w:t>
      </w:r>
      <w:r>
        <w:rPr>
          <w:rFonts w:asciiTheme="minorHAnsi" w:hAnsiTheme="minorHAnsi" w:cstheme="minorHAnsi"/>
        </w:rPr>
        <w:t>SW</w:t>
      </w:r>
      <w:r w:rsidR="00306DD6">
        <w:rPr>
          <w:rFonts w:asciiTheme="minorHAnsi" w:hAnsiTheme="minorHAnsi" w:cstheme="minorHAnsi"/>
        </w:rPr>
        <w:t xml:space="preserve"> sickness across both units </w:t>
      </w:r>
      <w:r w:rsidR="003430E3">
        <w:rPr>
          <w:rFonts w:asciiTheme="minorHAnsi" w:hAnsiTheme="minorHAnsi" w:cstheme="minorHAnsi"/>
        </w:rPr>
        <w:t xml:space="preserve">still requires the </w:t>
      </w:r>
      <w:r w:rsidR="00306DD6">
        <w:rPr>
          <w:rFonts w:asciiTheme="minorHAnsi" w:hAnsiTheme="minorHAnsi" w:cstheme="minorHAnsi"/>
        </w:rPr>
        <w:t xml:space="preserve">need </w:t>
      </w:r>
      <w:r w:rsidR="003430E3">
        <w:rPr>
          <w:rFonts w:asciiTheme="minorHAnsi" w:hAnsiTheme="minorHAnsi" w:cstheme="minorHAnsi"/>
        </w:rPr>
        <w:t>for</w:t>
      </w:r>
      <w:r w:rsidR="00306DD6">
        <w:rPr>
          <w:rFonts w:asciiTheme="minorHAnsi" w:hAnsiTheme="minorHAnsi" w:cstheme="minorHAnsi"/>
        </w:rPr>
        <w:t xml:space="preserve"> review as </w:t>
      </w:r>
      <w:r w:rsidR="005554D0">
        <w:rPr>
          <w:rFonts w:asciiTheme="minorHAnsi" w:hAnsiTheme="minorHAnsi" w:cstheme="minorHAnsi"/>
        </w:rPr>
        <w:t xml:space="preserve">both units sit at above </w:t>
      </w:r>
      <w:r w:rsidR="00586A5C">
        <w:rPr>
          <w:rFonts w:asciiTheme="minorHAnsi" w:hAnsiTheme="minorHAnsi" w:cstheme="minorHAnsi"/>
        </w:rPr>
        <w:t>the 4</w:t>
      </w:r>
      <w:r w:rsidR="005554D0">
        <w:rPr>
          <w:rFonts w:asciiTheme="minorHAnsi" w:hAnsiTheme="minorHAnsi" w:cstheme="minorHAnsi"/>
        </w:rPr>
        <w:t>% sickness</w:t>
      </w:r>
      <w:r>
        <w:rPr>
          <w:rFonts w:asciiTheme="minorHAnsi" w:hAnsiTheme="minorHAnsi" w:cstheme="minorHAnsi"/>
        </w:rPr>
        <w:t xml:space="preserve"> target</w:t>
      </w:r>
      <w:r w:rsidR="003825D3">
        <w:rPr>
          <w:rFonts w:asciiTheme="minorHAnsi" w:hAnsiTheme="minorHAnsi" w:cstheme="minorHAnsi"/>
        </w:rPr>
        <w:t xml:space="preserve"> and</w:t>
      </w:r>
      <w:r w:rsidR="005554D0">
        <w:rPr>
          <w:rFonts w:asciiTheme="minorHAnsi" w:hAnsiTheme="minorHAnsi" w:cstheme="minorHAnsi"/>
        </w:rPr>
        <w:t xml:space="preserve"> Maternity leave remains fairly consistent month on month.</w:t>
      </w:r>
    </w:p>
    <w:p w14:paraId="466577A1" w14:textId="77777777" w:rsidR="00306DD6" w:rsidRDefault="00306DD6" w:rsidP="000B1816">
      <w:pPr>
        <w:pStyle w:val="BodyText"/>
        <w:rPr>
          <w:rFonts w:asciiTheme="minorHAnsi" w:hAnsiTheme="minorHAnsi" w:cstheme="minorHAnsi"/>
        </w:rPr>
      </w:pPr>
    </w:p>
    <w:p w14:paraId="7906F0CB" w14:textId="77777777" w:rsidR="00BF5D87" w:rsidRDefault="00BF5D87" w:rsidP="000B1816">
      <w:pPr>
        <w:autoSpaceDE w:val="0"/>
        <w:autoSpaceDN w:val="0"/>
        <w:spacing w:before="0"/>
        <w:jc w:val="both"/>
        <w:rPr>
          <w:rFonts w:asciiTheme="minorHAnsi" w:hAnsiTheme="minorHAnsi" w:cstheme="minorHAnsi"/>
        </w:rPr>
      </w:pPr>
    </w:p>
    <w:bookmarkEnd w:id="3"/>
    <w:p w14:paraId="44DC60DF" w14:textId="3F5408E2" w:rsidR="00BF5D87" w:rsidRPr="00BF5D87" w:rsidRDefault="00BF5D87" w:rsidP="000B1816">
      <w:pPr>
        <w:autoSpaceDE w:val="0"/>
        <w:autoSpaceDN w:val="0"/>
        <w:spacing w:before="0"/>
        <w:jc w:val="both"/>
        <w:rPr>
          <w:rFonts w:asciiTheme="minorHAnsi" w:hAnsiTheme="minorHAnsi" w:cstheme="minorHAnsi"/>
          <w:color w:val="548DD4" w:themeColor="text2" w:themeTint="99"/>
        </w:rPr>
      </w:pPr>
      <w:r w:rsidRPr="00BF5D87">
        <w:rPr>
          <w:rFonts w:asciiTheme="minorHAnsi" w:hAnsiTheme="minorHAnsi" w:cstheme="minorHAnsi"/>
          <w:color w:val="548DD4" w:themeColor="text2" w:themeTint="99"/>
        </w:rPr>
        <w:t xml:space="preserve">Quality and Safety </w:t>
      </w:r>
    </w:p>
    <w:p w14:paraId="21140FAF" w14:textId="77777777" w:rsidR="00BF5D87" w:rsidRDefault="00BF5D87" w:rsidP="000B1816">
      <w:pPr>
        <w:autoSpaceDE w:val="0"/>
        <w:autoSpaceDN w:val="0"/>
        <w:spacing w:before="0"/>
        <w:jc w:val="both"/>
        <w:rPr>
          <w:rFonts w:asciiTheme="minorHAnsi" w:hAnsiTheme="minorHAnsi" w:cstheme="minorHAnsi"/>
        </w:rPr>
      </w:pPr>
    </w:p>
    <w:p w14:paraId="3914684A" w14:textId="21829E15" w:rsidR="00486AA9" w:rsidRDefault="00BF5D87" w:rsidP="00BF5D87">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From reviewing the </w:t>
      </w:r>
      <w:proofErr w:type="gramStart"/>
      <w:r w:rsidRPr="00BF5D87">
        <w:rPr>
          <w:rFonts w:asciiTheme="minorHAnsi" w:eastAsia="Arial" w:hAnsiTheme="minorHAnsi" w:cstheme="minorHAnsi"/>
          <w:sz w:val="22"/>
          <w:lang w:val="en-US"/>
        </w:rPr>
        <w:t>high level</w:t>
      </w:r>
      <w:proofErr w:type="gramEnd"/>
      <w:r w:rsidRPr="00BF5D87">
        <w:rPr>
          <w:rFonts w:asciiTheme="minorHAnsi" w:eastAsia="Arial" w:hAnsiTheme="minorHAnsi" w:cstheme="minorHAnsi"/>
          <w:sz w:val="22"/>
          <w:lang w:val="en-US"/>
        </w:rPr>
        <w:t xml:space="preserve"> quality data for each ward/unit, below is an overview of the key metrics for quality and safety in month related to staffing.  </w:t>
      </w:r>
      <w:r w:rsidR="0031049A" w:rsidRPr="00D960A1">
        <w:rPr>
          <w:noProof/>
        </w:rPr>
        <w:lastRenderedPageBreak/>
        <w:drawing>
          <wp:inline distT="0" distB="0" distL="0" distR="0" wp14:anchorId="366EC8EB" wp14:editId="09A3A10D">
            <wp:extent cx="5731510" cy="367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677920"/>
                    </a:xfrm>
                    <a:prstGeom prst="rect">
                      <a:avLst/>
                    </a:prstGeom>
                    <a:noFill/>
                    <a:ln>
                      <a:noFill/>
                    </a:ln>
                  </pic:spPr>
                </pic:pic>
              </a:graphicData>
            </a:graphic>
          </wp:inline>
        </w:drawing>
      </w:r>
    </w:p>
    <w:p w14:paraId="79962AE5"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2935F2B8"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3DA4C09F" w14:textId="02D648D6" w:rsidR="003A1A4C" w:rsidRDefault="003A1A4C" w:rsidP="00BF5D87">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Quality and safety </w:t>
      </w:r>
      <w:proofErr w:type="gramStart"/>
      <w:r>
        <w:rPr>
          <w:rFonts w:asciiTheme="minorHAnsi" w:eastAsia="Arial" w:hAnsiTheme="minorHAnsi" w:cstheme="minorHAnsi"/>
          <w:sz w:val="22"/>
          <w:lang w:val="en-US"/>
        </w:rPr>
        <w:t>metric’s</w:t>
      </w:r>
      <w:proofErr w:type="gramEnd"/>
      <w:r>
        <w:rPr>
          <w:rFonts w:asciiTheme="minorHAnsi" w:eastAsia="Arial" w:hAnsiTheme="minorHAnsi" w:cstheme="minorHAnsi"/>
          <w:sz w:val="22"/>
          <w:lang w:val="en-US"/>
        </w:rPr>
        <w:t xml:space="preserve"> in relation to </w:t>
      </w:r>
      <w:proofErr w:type="spellStart"/>
      <w:r>
        <w:rPr>
          <w:rFonts w:asciiTheme="minorHAnsi" w:eastAsia="Arial" w:hAnsiTheme="minorHAnsi" w:cstheme="minorHAnsi"/>
          <w:sz w:val="22"/>
          <w:lang w:val="en-US"/>
        </w:rPr>
        <w:t>Nuse</w:t>
      </w:r>
      <w:proofErr w:type="spellEnd"/>
      <w:r>
        <w:rPr>
          <w:rFonts w:asciiTheme="minorHAnsi" w:eastAsia="Arial" w:hAnsiTheme="minorHAnsi" w:cstheme="minorHAnsi"/>
          <w:sz w:val="22"/>
          <w:lang w:val="en-US"/>
        </w:rPr>
        <w:t xml:space="preserve"> staffing are discussed at unit governance meetings and patient safety meetings.</w:t>
      </w:r>
    </w:p>
    <w:p w14:paraId="45BDE65A" w14:textId="77777777" w:rsidR="003A1A4C" w:rsidRDefault="003A1A4C" w:rsidP="00BF5D87">
      <w:pPr>
        <w:widowControl w:val="0"/>
        <w:autoSpaceDE w:val="0"/>
        <w:autoSpaceDN w:val="0"/>
        <w:spacing w:before="0"/>
        <w:rPr>
          <w:rFonts w:asciiTheme="minorHAnsi" w:eastAsia="Arial" w:hAnsiTheme="minorHAnsi" w:cstheme="minorHAnsi"/>
          <w:sz w:val="22"/>
          <w:lang w:val="en-US"/>
        </w:rPr>
      </w:pPr>
    </w:p>
    <w:p w14:paraId="7CB26D5F" w14:textId="0020C871" w:rsidR="00157C1B" w:rsidRDefault="003A1A4C" w:rsidP="00BF5D87">
      <w:pPr>
        <w:widowControl w:val="0"/>
        <w:autoSpaceDE w:val="0"/>
        <w:autoSpaceDN w:val="0"/>
        <w:spacing w:before="0"/>
        <w:rPr>
          <w:rFonts w:asciiTheme="minorHAnsi" w:eastAsia="Arial" w:hAnsiTheme="minorHAnsi" w:cstheme="minorHAnsi"/>
          <w:b/>
          <w:bCs/>
          <w:sz w:val="22"/>
          <w:lang w:val="en-US"/>
        </w:rPr>
      </w:pPr>
      <w:r>
        <w:rPr>
          <w:rFonts w:asciiTheme="minorHAnsi" w:eastAsia="Arial" w:hAnsiTheme="minorHAnsi" w:cstheme="minorHAnsi"/>
          <w:sz w:val="22"/>
          <w:lang w:val="en-US"/>
        </w:rPr>
        <w:t>Current concerns relate to an increase in medication errors</w:t>
      </w:r>
      <w:r w:rsidR="00586A5C">
        <w:rPr>
          <w:rFonts w:asciiTheme="minorHAnsi" w:eastAsia="Arial" w:hAnsiTheme="minorHAnsi" w:cstheme="minorHAnsi"/>
          <w:sz w:val="22"/>
          <w:lang w:val="en-US"/>
        </w:rPr>
        <w:t xml:space="preserve">, </w:t>
      </w:r>
      <w:proofErr w:type="spellStart"/>
      <w:r>
        <w:rPr>
          <w:rFonts w:asciiTheme="minorHAnsi" w:eastAsia="Arial" w:hAnsiTheme="minorHAnsi" w:cstheme="minorHAnsi"/>
          <w:sz w:val="22"/>
          <w:lang w:val="en-US"/>
        </w:rPr>
        <w:t>non of</w:t>
      </w:r>
      <w:proofErr w:type="spellEnd"/>
      <w:r>
        <w:rPr>
          <w:rFonts w:asciiTheme="minorHAnsi" w:eastAsia="Arial" w:hAnsiTheme="minorHAnsi" w:cstheme="minorHAnsi"/>
          <w:sz w:val="22"/>
          <w:lang w:val="en-US"/>
        </w:rPr>
        <w:t xml:space="preserve"> which have caused harm to patients and a focused piece of work </w:t>
      </w:r>
      <w:r w:rsidR="00233855">
        <w:rPr>
          <w:rFonts w:asciiTheme="minorHAnsi" w:eastAsia="Arial" w:hAnsiTheme="minorHAnsi" w:cstheme="minorHAnsi"/>
          <w:sz w:val="22"/>
          <w:lang w:val="en-US"/>
        </w:rPr>
        <w:t xml:space="preserve">is currently being </w:t>
      </w:r>
      <w:r>
        <w:rPr>
          <w:rFonts w:asciiTheme="minorHAnsi" w:eastAsia="Arial" w:hAnsiTheme="minorHAnsi" w:cstheme="minorHAnsi"/>
          <w:sz w:val="22"/>
          <w:lang w:val="en-US"/>
        </w:rPr>
        <w:t xml:space="preserve">undertaken by the </w:t>
      </w:r>
      <w:r w:rsidR="00233855">
        <w:rPr>
          <w:rFonts w:asciiTheme="minorHAnsi" w:eastAsia="Arial" w:hAnsiTheme="minorHAnsi" w:cstheme="minorHAnsi"/>
          <w:sz w:val="22"/>
          <w:lang w:val="en-US"/>
        </w:rPr>
        <w:t>ACN’s.</w:t>
      </w:r>
    </w:p>
    <w:p w14:paraId="61CF340F" w14:textId="77777777" w:rsidR="00233855" w:rsidRDefault="00233855" w:rsidP="00BF5D87">
      <w:pPr>
        <w:widowControl w:val="0"/>
        <w:autoSpaceDE w:val="0"/>
        <w:autoSpaceDN w:val="0"/>
        <w:spacing w:before="0"/>
        <w:rPr>
          <w:rFonts w:asciiTheme="minorHAnsi" w:eastAsia="Arial" w:hAnsiTheme="minorHAnsi" w:cstheme="minorHAnsi"/>
          <w:b/>
          <w:bCs/>
          <w:sz w:val="22"/>
          <w:lang w:val="en-US"/>
        </w:rPr>
      </w:pPr>
    </w:p>
    <w:p w14:paraId="3EBF8D28" w14:textId="77777777" w:rsidR="00233855" w:rsidRDefault="00233855" w:rsidP="00BF5D87">
      <w:pPr>
        <w:widowControl w:val="0"/>
        <w:autoSpaceDE w:val="0"/>
        <w:autoSpaceDN w:val="0"/>
        <w:spacing w:before="0"/>
        <w:rPr>
          <w:rFonts w:asciiTheme="minorHAnsi" w:eastAsia="Arial" w:hAnsiTheme="minorHAnsi" w:cstheme="minorHAnsi"/>
          <w:b/>
          <w:bCs/>
          <w:sz w:val="22"/>
          <w:lang w:val="en-US"/>
        </w:rPr>
      </w:pPr>
    </w:p>
    <w:p w14:paraId="1D9B8EBC" w14:textId="650CFFD5" w:rsidR="00BF5D87" w:rsidRPr="00BF5D87" w:rsidRDefault="00BF5D87" w:rsidP="00BF5D87">
      <w:pPr>
        <w:widowControl w:val="0"/>
        <w:autoSpaceDE w:val="0"/>
        <w:autoSpaceDN w:val="0"/>
        <w:spacing w:before="0"/>
        <w:rPr>
          <w:rFonts w:asciiTheme="minorHAnsi" w:eastAsia="Arial" w:hAnsiTheme="minorHAnsi" w:cstheme="minorHAnsi"/>
          <w:b/>
          <w:bCs/>
          <w:sz w:val="22"/>
          <w:lang w:val="en-US"/>
        </w:rPr>
      </w:pPr>
      <w:r w:rsidRPr="00BF5D87">
        <w:rPr>
          <w:rFonts w:asciiTheme="minorHAnsi" w:eastAsia="Arial" w:hAnsiTheme="minorHAnsi" w:cstheme="minorHAnsi"/>
          <w:b/>
          <w:bCs/>
          <w:sz w:val="22"/>
          <w:lang w:val="en-US"/>
        </w:rPr>
        <w:t>Complaints related to staffing:</w:t>
      </w:r>
    </w:p>
    <w:p w14:paraId="00556353" w14:textId="77777777" w:rsidR="00D129F5" w:rsidRDefault="00D129F5" w:rsidP="00BF5D87">
      <w:pPr>
        <w:widowControl w:val="0"/>
        <w:autoSpaceDE w:val="0"/>
        <w:autoSpaceDN w:val="0"/>
        <w:spacing w:before="0"/>
        <w:rPr>
          <w:rFonts w:asciiTheme="minorHAnsi" w:eastAsia="Arial" w:hAnsiTheme="minorHAnsi" w:cstheme="minorHAnsi"/>
          <w:sz w:val="22"/>
          <w:lang w:val="en-US"/>
        </w:rPr>
      </w:pPr>
    </w:p>
    <w:p w14:paraId="391E9B44" w14:textId="5D2212A5" w:rsidR="006B70C4" w:rsidRDefault="006B70C4" w:rsidP="00BF5D87">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There were 3 </w:t>
      </w:r>
      <w:r w:rsidR="00BF5D87" w:rsidRPr="00157C1B">
        <w:rPr>
          <w:rFonts w:asciiTheme="minorHAnsi" w:eastAsia="Arial" w:hAnsiTheme="minorHAnsi" w:cstheme="minorHAnsi"/>
          <w:sz w:val="22"/>
          <w:lang w:val="en-US"/>
        </w:rPr>
        <w:t>complaints in month re</w:t>
      </w:r>
      <w:r w:rsidR="00D129F5">
        <w:rPr>
          <w:rFonts w:asciiTheme="minorHAnsi" w:eastAsia="Arial" w:hAnsiTheme="minorHAnsi" w:cstheme="minorHAnsi"/>
          <w:sz w:val="22"/>
          <w:lang w:val="en-US"/>
        </w:rPr>
        <w:t xml:space="preserve">corded </w:t>
      </w:r>
      <w:r>
        <w:rPr>
          <w:rFonts w:asciiTheme="minorHAnsi" w:eastAsia="Arial" w:hAnsiTheme="minorHAnsi" w:cstheme="minorHAnsi"/>
          <w:sz w:val="22"/>
          <w:lang w:val="en-US"/>
        </w:rPr>
        <w:t>within Specialist Unit</w:t>
      </w:r>
      <w:r w:rsidR="00D129F5">
        <w:rPr>
          <w:rFonts w:asciiTheme="minorHAnsi" w:eastAsia="Arial" w:hAnsiTheme="minorHAnsi" w:cstheme="minorHAnsi"/>
          <w:sz w:val="22"/>
          <w:lang w:val="en-US"/>
        </w:rPr>
        <w:t xml:space="preserve"> however none were related to safe staffing or indeed related to Nursing.</w:t>
      </w:r>
    </w:p>
    <w:p w14:paraId="725F4A18" w14:textId="77777777" w:rsidR="006B70C4" w:rsidRDefault="006B70C4" w:rsidP="00BF5D87">
      <w:pPr>
        <w:widowControl w:val="0"/>
        <w:autoSpaceDE w:val="0"/>
        <w:autoSpaceDN w:val="0"/>
        <w:spacing w:before="0"/>
        <w:rPr>
          <w:rFonts w:asciiTheme="minorHAnsi" w:eastAsia="Arial" w:hAnsiTheme="minorHAnsi" w:cstheme="minorHAnsi"/>
          <w:sz w:val="22"/>
          <w:lang w:val="en-US"/>
        </w:rPr>
      </w:pPr>
    </w:p>
    <w:p w14:paraId="4C0D8176" w14:textId="0BE2EC78" w:rsidR="00D129F5" w:rsidRDefault="00D129F5" w:rsidP="00BF5D87">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A</w:t>
      </w:r>
      <w:r w:rsidRPr="00D129F5">
        <w:rPr>
          <w:rFonts w:asciiTheme="minorHAnsi" w:eastAsia="Arial" w:hAnsiTheme="minorHAnsi" w:cstheme="minorHAnsi"/>
          <w:sz w:val="22"/>
          <w:lang w:val="en-US"/>
        </w:rPr>
        <w:t>s part of the FFT feedback</w:t>
      </w:r>
      <w:r>
        <w:rPr>
          <w:rFonts w:asciiTheme="minorHAnsi" w:eastAsia="Arial" w:hAnsiTheme="minorHAnsi" w:cstheme="minorHAnsi"/>
          <w:sz w:val="22"/>
          <w:lang w:val="en-US"/>
        </w:rPr>
        <w:t>,</w:t>
      </w:r>
      <w:r w:rsidRPr="00D129F5">
        <w:rPr>
          <w:rFonts w:asciiTheme="minorHAnsi" w:eastAsia="Arial" w:hAnsiTheme="minorHAnsi" w:cstheme="minorHAnsi"/>
          <w:sz w:val="22"/>
          <w:lang w:val="en-US"/>
        </w:rPr>
        <w:t xml:space="preserve"> </w:t>
      </w:r>
      <w:r>
        <w:rPr>
          <w:rFonts w:asciiTheme="minorHAnsi" w:eastAsia="Arial" w:hAnsiTheme="minorHAnsi" w:cstheme="minorHAnsi"/>
          <w:sz w:val="22"/>
          <w:lang w:val="en-US"/>
        </w:rPr>
        <w:t xml:space="preserve">Both </w:t>
      </w:r>
      <w:r w:rsidRPr="00D129F5">
        <w:rPr>
          <w:rFonts w:asciiTheme="minorHAnsi" w:eastAsia="Arial" w:hAnsiTheme="minorHAnsi" w:cstheme="minorHAnsi"/>
          <w:sz w:val="22"/>
          <w:lang w:val="en-US"/>
        </w:rPr>
        <w:t xml:space="preserve">MSK and Specialist </w:t>
      </w:r>
      <w:r>
        <w:rPr>
          <w:rFonts w:asciiTheme="minorHAnsi" w:eastAsia="Arial" w:hAnsiTheme="minorHAnsi" w:cstheme="minorHAnsi"/>
          <w:sz w:val="22"/>
          <w:lang w:val="en-US"/>
        </w:rPr>
        <w:t xml:space="preserve">Unit </w:t>
      </w:r>
      <w:proofErr w:type="spellStart"/>
      <w:r w:rsidR="00C73A2D">
        <w:rPr>
          <w:rFonts w:asciiTheme="minorHAnsi" w:eastAsia="Arial" w:hAnsiTheme="minorHAnsi" w:cstheme="minorHAnsi"/>
          <w:sz w:val="22"/>
          <w:lang w:val="en-US"/>
        </w:rPr>
        <w:t>recieved</w:t>
      </w:r>
      <w:proofErr w:type="spellEnd"/>
      <w:r>
        <w:rPr>
          <w:rFonts w:asciiTheme="minorHAnsi" w:eastAsia="Arial" w:hAnsiTheme="minorHAnsi" w:cstheme="minorHAnsi"/>
          <w:sz w:val="22"/>
          <w:lang w:val="en-US"/>
        </w:rPr>
        <w:t xml:space="preserve"> one negative </w:t>
      </w:r>
      <w:r w:rsidRPr="00D129F5">
        <w:rPr>
          <w:rFonts w:asciiTheme="minorHAnsi" w:eastAsia="Arial" w:hAnsiTheme="minorHAnsi" w:cstheme="minorHAnsi"/>
          <w:sz w:val="22"/>
          <w:lang w:val="en-US"/>
        </w:rPr>
        <w:t xml:space="preserve">comment </w:t>
      </w:r>
      <w:r w:rsidR="00C73A2D">
        <w:rPr>
          <w:rFonts w:asciiTheme="minorHAnsi" w:eastAsia="Arial" w:hAnsiTheme="minorHAnsi" w:cstheme="minorHAnsi"/>
          <w:sz w:val="22"/>
          <w:lang w:val="en-US"/>
        </w:rPr>
        <w:t>however both reports were not related to safe staffing, they were in relation to staff attitude.</w:t>
      </w:r>
    </w:p>
    <w:p w14:paraId="6E406027" w14:textId="77777777" w:rsidR="00D129F5" w:rsidRDefault="00D129F5" w:rsidP="00BF5D87">
      <w:pPr>
        <w:widowControl w:val="0"/>
        <w:autoSpaceDE w:val="0"/>
        <w:autoSpaceDN w:val="0"/>
        <w:spacing w:before="0"/>
        <w:rPr>
          <w:rFonts w:asciiTheme="minorHAnsi" w:eastAsia="Arial" w:hAnsiTheme="minorHAnsi" w:cstheme="minorHAnsi"/>
          <w:sz w:val="22"/>
          <w:lang w:val="en-US"/>
        </w:rPr>
      </w:pPr>
    </w:p>
    <w:p w14:paraId="0EEB9ED3" w14:textId="5CA3403A" w:rsidR="00996ADB" w:rsidRPr="00996ADB" w:rsidRDefault="00996ADB" w:rsidP="00B95CDD">
      <w:pPr>
        <w:pBdr>
          <w:bottom w:val="single" w:sz="4" w:space="1" w:color="auto"/>
        </w:pBdr>
        <w:rPr>
          <w:rFonts w:cs="Arial"/>
          <w:b/>
          <w:sz w:val="28"/>
          <w:szCs w:val="28"/>
        </w:rPr>
      </w:pPr>
      <w:r w:rsidRPr="00330E4F">
        <w:rPr>
          <w:rFonts w:cs="Arial"/>
          <w:b/>
          <w:sz w:val="22"/>
        </w:rPr>
        <w:t>3.</w:t>
      </w:r>
      <w:r w:rsidRPr="00330E4F">
        <w:rPr>
          <w:rFonts w:cs="Arial"/>
          <w:b/>
          <w:sz w:val="22"/>
        </w:rPr>
        <w:tab/>
      </w:r>
      <w:r w:rsidR="00377560">
        <w:rPr>
          <w:rFonts w:cs="Arial"/>
          <w:b/>
          <w:sz w:val="22"/>
        </w:rPr>
        <w:t>Proposed next steps</w:t>
      </w:r>
    </w:p>
    <w:p w14:paraId="5641CA07" w14:textId="77777777" w:rsidR="00306DD6" w:rsidRDefault="00306DD6" w:rsidP="00306DD6">
      <w:pPr>
        <w:widowControl w:val="0"/>
        <w:autoSpaceDE w:val="0"/>
        <w:autoSpaceDN w:val="0"/>
        <w:spacing w:before="0"/>
        <w:rPr>
          <w:rFonts w:asciiTheme="minorHAnsi" w:eastAsia="Arial" w:hAnsiTheme="minorHAnsi" w:cstheme="minorHAnsi"/>
          <w:sz w:val="22"/>
          <w:lang w:val="en-US"/>
        </w:rPr>
      </w:pPr>
    </w:p>
    <w:p w14:paraId="5AC03311" w14:textId="77777777" w:rsidR="00E45E4C" w:rsidRDefault="00BF106D" w:rsidP="00E45E4C">
      <w:pPr>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Fulfil NHSE </w:t>
      </w:r>
      <w:r w:rsidR="00BF5D87" w:rsidRPr="00BF5D87">
        <w:rPr>
          <w:rFonts w:asciiTheme="minorHAnsi" w:eastAsia="Arial" w:hAnsiTheme="minorHAnsi" w:cstheme="minorHAnsi"/>
          <w:sz w:val="22"/>
          <w:lang w:val="en-US"/>
        </w:rPr>
        <w:t>International Recruitment (IR)</w:t>
      </w:r>
      <w:r>
        <w:rPr>
          <w:rFonts w:asciiTheme="minorHAnsi" w:eastAsia="Arial" w:hAnsiTheme="minorHAnsi" w:cstheme="minorHAnsi"/>
          <w:sz w:val="22"/>
          <w:lang w:val="en-US"/>
        </w:rPr>
        <w:t xml:space="preserve"> requirements</w:t>
      </w:r>
      <w:r w:rsidR="00E45E4C">
        <w:rPr>
          <w:rFonts w:asciiTheme="minorHAnsi" w:eastAsia="Arial" w:hAnsiTheme="minorHAnsi" w:cstheme="minorHAnsi"/>
          <w:sz w:val="22"/>
          <w:lang w:val="en-US"/>
        </w:rPr>
        <w:t xml:space="preserve"> </w:t>
      </w:r>
      <w:r w:rsidR="00E45E4C" w:rsidRPr="00E45E4C">
        <w:rPr>
          <w:rFonts w:asciiTheme="minorHAnsi" w:eastAsia="Arial" w:hAnsiTheme="minorHAnsi" w:cstheme="minorHAnsi"/>
          <w:sz w:val="22"/>
          <w:lang w:val="en-US"/>
        </w:rPr>
        <w:t>w</w:t>
      </w:r>
      <w:r w:rsidR="00157C1B" w:rsidRPr="00E45E4C">
        <w:rPr>
          <w:rFonts w:asciiTheme="minorHAnsi" w:eastAsia="Arial" w:hAnsiTheme="minorHAnsi" w:cstheme="minorHAnsi"/>
          <w:sz w:val="22"/>
          <w:lang w:val="en-US"/>
        </w:rPr>
        <w:t>ith a view to recruit within the given timeline</w:t>
      </w:r>
      <w:r w:rsidR="00A23226" w:rsidRPr="00E45E4C">
        <w:rPr>
          <w:rFonts w:asciiTheme="minorHAnsi" w:eastAsia="Arial" w:hAnsiTheme="minorHAnsi" w:cstheme="minorHAnsi"/>
          <w:sz w:val="22"/>
          <w:lang w:val="en-US"/>
        </w:rPr>
        <w:t xml:space="preserve"> and fulfill t</w:t>
      </w:r>
      <w:r w:rsidR="00DA0BB8" w:rsidRPr="00E45E4C">
        <w:rPr>
          <w:rFonts w:asciiTheme="minorHAnsi" w:eastAsia="Arial" w:hAnsiTheme="minorHAnsi" w:cstheme="minorHAnsi"/>
          <w:sz w:val="22"/>
          <w:lang w:val="en-US"/>
        </w:rPr>
        <w:t xml:space="preserve">he NHSE commitment to land </w:t>
      </w:r>
      <w:r w:rsidR="0012539B" w:rsidRPr="00E45E4C">
        <w:rPr>
          <w:rFonts w:asciiTheme="minorHAnsi" w:eastAsia="Arial" w:hAnsiTheme="minorHAnsi" w:cstheme="minorHAnsi"/>
          <w:sz w:val="22"/>
          <w:lang w:val="en-US"/>
        </w:rPr>
        <w:t xml:space="preserve">candidates </w:t>
      </w:r>
      <w:r w:rsidR="00DA0BB8" w:rsidRPr="00E45E4C">
        <w:rPr>
          <w:rFonts w:asciiTheme="minorHAnsi" w:eastAsia="Arial" w:hAnsiTheme="minorHAnsi" w:cstheme="minorHAnsi"/>
          <w:sz w:val="22"/>
          <w:lang w:val="en-US"/>
        </w:rPr>
        <w:t>by November</w:t>
      </w:r>
      <w:r w:rsidR="00A23226" w:rsidRPr="00E45E4C">
        <w:rPr>
          <w:rFonts w:asciiTheme="minorHAnsi" w:eastAsia="Arial" w:hAnsiTheme="minorHAnsi" w:cstheme="minorHAnsi"/>
          <w:sz w:val="22"/>
          <w:lang w:val="en-US"/>
        </w:rPr>
        <w:t>.</w:t>
      </w:r>
      <w:r w:rsidR="00DA0BB8" w:rsidRPr="00E45E4C">
        <w:rPr>
          <w:rFonts w:asciiTheme="minorHAnsi" w:eastAsia="Arial" w:hAnsiTheme="minorHAnsi" w:cstheme="minorHAnsi"/>
          <w:sz w:val="22"/>
          <w:lang w:val="en-US"/>
        </w:rPr>
        <w:t xml:space="preserve"> </w:t>
      </w:r>
    </w:p>
    <w:p w14:paraId="521A2A79" w14:textId="616FB1F1" w:rsidR="00BF5D87" w:rsidRPr="00E45E4C" w:rsidRDefault="00E45E4C" w:rsidP="00E45E4C">
      <w:pPr>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A further</w:t>
      </w:r>
      <w:r w:rsidR="00BF5D87" w:rsidRPr="00E45E4C">
        <w:rPr>
          <w:rFonts w:asciiTheme="minorHAnsi" w:eastAsia="Arial" w:hAnsiTheme="minorHAnsi" w:cstheme="minorHAnsi"/>
          <w:sz w:val="22"/>
          <w:lang w:val="en-US"/>
        </w:rPr>
        <w:t xml:space="preserve"> expression of interest to land a further 12 International nurses to land by </w:t>
      </w:r>
      <w:r w:rsidR="00067653" w:rsidRPr="00E45E4C">
        <w:rPr>
          <w:rFonts w:asciiTheme="minorHAnsi" w:eastAsia="Arial" w:hAnsiTheme="minorHAnsi" w:cstheme="minorHAnsi"/>
          <w:sz w:val="22"/>
          <w:lang w:val="en-US"/>
        </w:rPr>
        <w:t>D</w:t>
      </w:r>
      <w:r w:rsidR="00BF5D87" w:rsidRPr="00E45E4C">
        <w:rPr>
          <w:rFonts w:asciiTheme="minorHAnsi" w:eastAsia="Arial" w:hAnsiTheme="minorHAnsi" w:cstheme="minorHAnsi"/>
          <w:sz w:val="22"/>
          <w:lang w:val="en-US"/>
        </w:rPr>
        <w:t xml:space="preserve">ecember23 </w:t>
      </w:r>
      <w:r w:rsidR="00D34057" w:rsidRPr="00E45E4C">
        <w:rPr>
          <w:rFonts w:asciiTheme="minorHAnsi" w:eastAsia="Arial" w:hAnsiTheme="minorHAnsi" w:cstheme="minorHAnsi"/>
          <w:sz w:val="22"/>
          <w:lang w:val="en-US"/>
        </w:rPr>
        <w:t xml:space="preserve">has been agreed by </w:t>
      </w:r>
      <w:proofErr w:type="gramStart"/>
      <w:r w:rsidR="00BF5D87" w:rsidRPr="00E45E4C">
        <w:rPr>
          <w:rFonts w:asciiTheme="minorHAnsi" w:eastAsia="Arial" w:hAnsiTheme="minorHAnsi" w:cstheme="minorHAnsi"/>
          <w:sz w:val="22"/>
          <w:lang w:val="en-US"/>
        </w:rPr>
        <w:t>NHSE</w:t>
      </w:r>
      <w:r w:rsidR="00D34057" w:rsidRPr="00E45E4C">
        <w:rPr>
          <w:rFonts w:asciiTheme="minorHAnsi" w:eastAsia="Arial" w:hAnsiTheme="minorHAnsi" w:cstheme="minorHAnsi"/>
          <w:sz w:val="22"/>
          <w:lang w:val="en-US"/>
        </w:rPr>
        <w:t>,</w:t>
      </w:r>
      <w:r>
        <w:rPr>
          <w:rFonts w:asciiTheme="minorHAnsi" w:eastAsia="Arial" w:hAnsiTheme="minorHAnsi" w:cstheme="minorHAnsi"/>
          <w:sz w:val="22"/>
          <w:lang w:val="en-US"/>
        </w:rPr>
        <w:t xml:space="preserve"> and</w:t>
      </w:r>
      <w:proofErr w:type="gramEnd"/>
      <w:r>
        <w:rPr>
          <w:rFonts w:asciiTheme="minorHAnsi" w:eastAsia="Arial" w:hAnsiTheme="minorHAnsi" w:cstheme="minorHAnsi"/>
          <w:sz w:val="22"/>
          <w:lang w:val="en-US"/>
        </w:rPr>
        <w:t xml:space="preserve"> has now been approved at </w:t>
      </w:r>
      <w:r w:rsidR="00A23226" w:rsidRPr="00E45E4C">
        <w:rPr>
          <w:rFonts w:asciiTheme="minorHAnsi" w:eastAsia="Arial" w:hAnsiTheme="minorHAnsi" w:cstheme="minorHAnsi"/>
          <w:sz w:val="22"/>
          <w:lang w:val="en-US"/>
        </w:rPr>
        <w:t>investment pane</w:t>
      </w:r>
      <w:r>
        <w:rPr>
          <w:rFonts w:asciiTheme="minorHAnsi" w:eastAsia="Arial" w:hAnsiTheme="minorHAnsi" w:cstheme="minorHAnsi"/>
          <w:sz w:val="22"/>
          <w:lang w:val="en-US"/>
        </w:rPr>
        <w:t>.</w:t>
      </w:r>
    </w:p>
    <w:p w14:paraId="50DC4118" w14:textId="1D816DCE" w:rsidR="00BF5D87" w:rsidRPr="00A23226" w:rsidRDefault="00A23226" w:rsidP="00051FD9">
      <w:pPr>
        <w:widowControl w:val="0"/>
        <w:numPr>
          <w:ilvl w:val="0"/>
          <w:numId w:val="30"/>
        </w:numPr>
        <w:autoSpaceDE w:val="0"/>
        <w:autoSpaceDN w:val="0"/>
        <w:spacing w:before="0"/>
        <w:rPr>
          <w:rFonts w:asciiTheme="minorHAnsi" w:eastAsia="Arial" w:hAnsiTheme="minorHAnsi" w:cstheme="minorHAnsi"/>
          <w:sz w:val="22"/>
          <w:lang w:val="en-US"/>
        </w:rPr>
      </w:pPr>
      <w:r w:rsidRPr="00A23226">
        <w:rPr>
          <w:rFonts w:asciiTheme="minorHAnsi" w:eastAsia="Arial" w:hAnsiTheme="minorHAnsi" w:cstheme="minorHAnsi"/>
          <w:sz w:val="22"/>
          <w:lang w:val="en-US"/>
        </w:rPr>
        <w:t>Backfill the vacant HCSW Posts for the Trainee Nurse Associates post with new to care apprentices.</w:t>
      </w:r>
      <w:r w:rsidR="00BF5D87" w:rsidRPr="00A23226">
        <w:rPr>
          <w:rFonts w:asciiTheme="minorHAnsi" w:eastAsia="Arial" w:hAnsiTheme="minorHAnsi" w:cstheme="minorHAnsi"/>
          <w:sz w:val="22"/>
          <w:lang w:val="en-US"/>
        </w:rPr>
        <w:t xml:space="preserve"> </w:t>
      </w:r>
      <w:r w:rsidR="00E45E4C">
        <w:rPr>
          <w:rFonts w:asciiTheme="minorHAnsi" w:eastAsia="Arial" w:hAnsiTheme="minorHAnsi" w:cstheme="minorHAnsi"/>
          <w:sz w:val="22"/>
          <w:lang w:val="en-US"/>
        </w:rPr>
        <w:t>R</w:t>
      </w:r>
      <w:r w:rsidRPr="00A23226">
        <w:rPr>
          <w:rFonts w:asciiTheme="minorHAnsi" w:eastAsia="Arial" w:hAnsiTheme="minorHAnsi" w:cstheme="minorHAnsi"/>
          <w:sz w:val="22"/>
          <w:lang w:val="en-US"/>
        </w:rPr>
        <w:t xml:space="preserve">ecruitment </w:t>
      </w:r>
      <w:r w:rsidR="00E45E4C">
        <w:rPr>
          <w:rFonts w:asciiTheme="minorHAnsi" w:eastAsia="Arial" w:hAnsiTheme="minorHAnsi" w:cstheme="minorHAnsi"/>
          <w:sz w:val="22"/>
          <w:lang w:val="en-US"/>
        </w:rPr>
        <w:t xml:space="preserve">in </w:t>
      </w:r>
      <w:r w:rsidRPr="00A23226">
        <w:rPr>
          <w:rFonts w:asciiTheme="minorHAnsi" w:eastAsia="Arial" w:hAnsiTheme="minorHAnsi" w:cstheme="minorHAnsi"/>
          <w:sz w:val="22"/>
          <w:lang w:val="en-US"/>
        </w:rPr>
        <w:t>process.</w:t>
      </w:r>
    </w:p>
    <w:p w14:paraId="5103157F" w14:textId="77777777" w:rsidR="00BF106D" w:rsidRDefault="00BF106D" w:rsidP="00067653">
      <w:pPr>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Support learning and development opportunities for our HCSW’s:</w:t>
      </w:r>
    </w:p>
    <w:p w14:paraId="5BC5AEF8" w14:textId="66AB0552" w:rsidR="00067653" w:rsidRDefault="00E45E4C" w:rsidP="00A23226">
      <w:pPr>
        <w:pStyle w:val="ListParagraph"/>
        <w:widowControl w:val="0"/>
        <w:autoSpaceDE w:val="0"/>
        <w:autoSpaceDN w:val="0"/>
        <w:spacing w:before="0"/>
        <w:ind w:left="720"/>
        <w:rPr>
          <w:rFonts w:asciiTheme="minorHAnsi" w:eastAsia="Arial" w:hAnsiTheme="minorHAnsi" w:cstheme="minorHAnsi"/>
          <w:sz w:val="22"/>
          <w:lang w:val="en-US"/>
        </w:rPr>
      </w:pPr>
      <w:r>
        <w:rPr>
          <w:rFonts w:asciiTheme="minorHAnsi" w:eastAsia="Arial" w:hAnsiTheme="minorHAnsi" w:cstheme="minorHAnsi"/>
          <w:sz w:val="22"/>
          <w:lang w:val="en-US"/>
        </w:rPr>
        <w:t xml:space="preserve">Continue preparations </w:t>
      </w:r>
      <w:r w:rsidR="00067653" w:rsidRPr="00A23226">
        <w:rPr>
          <w:rFonts w:asciiTheme="minorHAnsi" w:eastAsia="Arial" w:hAnsiTheme="minorHAnsi" w:cstheme="minorHAnsi"/>
          <w:sz w:val="22"/>
          <w:lang w:val="en-US"/>
        </w:rPr>
        <w:t xml:space="preserve">to launch NHSE </w:t>
      </w:r>
      <w:bookmarkStart w:id="4" w:name="_Hlk143519571"/>
      <w:r w:rsidR="00067653" w:rsidRPr="00A23226">
        <w:rPr>
          <w:rFonts w:asciiTheme="minorHAnsi" w:eastAsia="Arial" w:hAnsiTheme="minorHAnsi" w:cstheme="minorHAnsi"/>
          <w:sz w:val="22"/>
          <w:lang w:val="en-US"/>
        </w:rPr>
        <w:t>Support Worker Learning and Development roadmap and career progression</w:t>
      </w:r>
      <w:bookmarkEnd w:id="4"/>
      <w:r w:rsidR="00067653" w:rsidRPr="00A23226">
        <w:rPr>
          <w:rFonts w:asciiTheme="minorHAnsi" w:eastAsia="Arial" w:hAnsiTheme="minorHAnsi" w:cstheme="minorHAnsi"/>
          <w:sz w:val="22"/>
          <w:lang w:val="en-US"/>
        </w:rPr>
        <w:t xml:space="preserve">. The roadmap comprises of a wealth of supportive materials </w:t>
      </w:r>
      <w:r w:rsidR="00F546FB" w:rsidRPr="00A23226">
        <w:rPr>
          <w:rFonts w:asciiTheme="minorHAnsi" w:eastAsia="Arial" w:hAnsiTheme="minorHAnsi" w:cstheme="minorHAnsi"/>
          <w:sz w:val="22"/>
          <w:lang w:val="en-US"/>
        </w:rPr>
        <w:t xml:space="preserve">for </w:t>
      </w:r>
      <w:r w:rsidR="00F546FB" w:rsidRPr="00A23226">
        <w:rPr>
          <w:rFonts w:asciiTheme="minorHAnsi" w:eastAsia="Arial" w:hAnsiTheme="minorHAnsi" w:cstheme="minorHAnsi"/>
          <w:sz w:val="22"/>
          <w:lang w:val="en-US"/>
        </w:rPr>
        <w:lastRenderedPageBreak/>
        <w:t xml:space="preserve">HCSW’s that </w:t>
      </w:r>
      <w:r w:rsidR="00067653" w:rsidRPr="00A23226">
        <w:rPr>
          <w:rFonts w:asciiTheme="minorHAnsi" w:eastAsia="Arial" w:hAnsiTheme="minorHAnsi" w:cstheme="minorHAnsi"/>
          <w:sz w:val="22"/>
          <w:lang w:val="en-US"/>
        </w:rPr>
        <w:t>includ</w:t>
      </w:r>
      <w:r w:rsidR="00F546FB" w:rsidRPr="00A23226">
        <w:rPr>
          <w:rFonts w:asciiTheme="minorHAnsi" w:eastAsia="Arial" w:hAnsiTheme="minorHAnsi" w:cstheme="minorHAnsi"/>
          <w:sz w:val="22"/>
          <w:lang w:val="en-US"/>
        </w:rPr>
        <w:t>es</w:t>
      </w:r>
      <w:r w:rsidR="00067653" w:rsidRPr="00A23226">
        <w:rPr>
          <w:rFonts w:asciiTheme="minorHAnsi" w:eastAsia="Arial" w:hAnsiTheme="minorHAnsi" w:cstheme="minorHAnsi"/>
          <w:sz w:val="22"/>
          <w:lang w:val="en-US"/>
        </w:rPr>
        <w:t xml:space="preserve"> skills for life, wellbeing and resilience, personal skills, technical </w:t>
      </w:r>
      <w:proofErr w:type="gramStart"/>
      <w:r w:rsidR="00067653" w:rsidRPr="00A23226">
        <w:rPr>
          <w:rFonts w:asciiTheme="minorHAnsi" w:eastAsia="Arial" w:hAnsiTheme="minorHAnsi" w:cstheme="minorHAnsi"/>
          <w:sz w:val="22"/>
          <w:lang w:val="en-US"/>
        </w:rPr>
        <w:t>skills</w:t>
      </w:r>
      <w:proofErr w:type="gramEnd"/>
      <w:r w:rsidR="00067653" w:rsidRPr="00A23226">
        <w:rPr>
          <w:rFonts w:asciiTheme="minorHAnsi" w:eastAsia="Arial" w:hAnsiTheme="minorHAnsi" w:cstheme="minorHAnsi"/>
          <w:sz w:val="22"/>
          <w:lang w:val="en-US"/>
        </w:rPr>
        <w:t xml:space="preserve"> and career progression that includes apprenticeships.</w:t>
      </w:r>
    </w:p>
    <w:p w14:paraId="43AE3DB1" w14:textId="7105B8D6" w:rsidR="00931C89" w:rsidRPr="00931C89" w:rsidRDefault="00A23226" w:rsidP="00931C89">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Update and </w:t>
      </w:r>
      <w:proofErr w:type="spellStart"/>
      <w:r>
        <w:rPr>
          <w:rFonts w:asciiTheme="minorHAnsi" w:eastAsia="Arial" w:hAnsiTheme="minorHAnsi" w:cstheme="minorHAnsi"/>
          <w:sz w:val="22"/>
          <w:lang w:val="en-US"/>
        </w:rPr>
        <w:t>refreash</w:t>
      </w:r>
      <w:proofErr w:type="spellEnd"/>
      <w:r>
        <w:rPr>
          <w:rFonts w:asciiTheme="minorHAnsi" w:eastAsia="Arial" w:hAnsiTheme="minorHAnsi" w:cstheme="minorHAnsi"/>
          <w:sz w:val="22"/>
          <w:lang w:val="en-US"/>
        </w:rPr>
        <w:t xml:space="preserve"> HCSW job descriptions to align with the</w:t>
      </w:r>
      <w:r w:rsidRPr="00A23226">
        <w:t xml:space="preserve"> </w:t>
      </w:r>
      <w:r w:rsidRPr="00A23226">
        <w:rPr>
          <w:rFonts w:asciiTheme="minorHAnsi" w:eastAsia="Arial" w:hAnsiTheme="minorHAnsi" w:cstheme="minorHAnsi"/>
          <w:sz w:val="22"/>
          <w:lang w:val="en-US"/>
        </w:rPr>
        <w:t>Support Worker Competency, Education,</w:t>
      </w:r>
      <w:r>
        <w:rPr>
          <w:rFonts w:asciiTheme="minorHAnsi" w:eastAsia="Arial" w:hAnsiTheme="minorHAnsi" w:cstheme="minorHAnsi"/>
          <w:sz w:val="22"/>
          <w:lang w:val="en-US"/>
        </w:rPr>
        <w:t xml:space="preserve"> </w:t>
      </w:r>
      <w:r w:rsidRPr="00A23226">
        <w:rPr>
          <w:rFonts w:asciiTheme="minorHAnsi" w:eastAsia="Arial" w:hAnsiTheme="minorHAnsi" w:cstheme="minorHAnsi"/>
          <w:sz w:val="22"/>
          <w:lang w:val="en-US"/>
        </w:rPr>
        <w:t xml:space="preserve">and Career Development Framework </w:t>
      </w:r>
      <w:r w:rsidR="00931C89">
        <w:rPr>
          <w:rFonts w:asciiTheme="minorHAnsi" w:eastAsia="Arial" w:hAnsiTheme="minorHAnsi" w:cstheme="minorHAnsi"/>
          <w:sz w:val="22"/>
          <w:lang w:val="en-US"/>
        </w:rPr>
        <w:t xml:space="preserve">to </w:t>
      </w:r>
      <w:r>
        <w:rPr>
          <w:rFonts w:asciiTheme="minorHAnsi" w:eastAsia="Arial" w:hAnsiTheme="minorHAnsi" w:cstheme="minorHAnsi"/>
          <w:sz w:val="22"/>
          <w:lang w:val="en-US"/>
        </w:rPr>
        <w:t>e</w:t>
      </w:r>
      <w:r w:rsidRPr="00A23226">
        <w:rPr>
          <w:rFonts w:asciiTheme="minorHAnsi" w:eastAsia="Arial" w:hAnsiTheme="minorHAnsi" w:cstheme="minorHAnsi"/>
          <w:sz w:val="22"/>
          <w:lang w:val="en-US"/>
        </w:rPr>
        <w:t>nsur</w:t>
      </w:r>
      <w:r w:rsidR="00931C89">
        <w:rPr>
          <w:rFonts w:asciiTheme="minorHAnsi" w:eastAsia="Arial" w:hAnsiTheme="minorHAnsi" w:cstheme="minorHAnsi"/>
          <w:sz w:val="22"/>
          <w:lang w:val="en-US"/>
        </w:rPr>
        <w:t>e</w:t>
      </w:r>
      <w:r w:rsidRPr="00A23226">
        <w:rPr>
          <w:rFonts w:asciiTheme="minorHAnsi" w:eastAsia="Arial" w:hAnsiTheme="minorHAnsi" w:cstheme="minorHAnsi"/>
          <w:sz w:val="22"/>
          <w:lang w:val="en-US"/>
        </w:rPr>
        <w:t xml:space="preserve"> clear and consistent access to high-quality learning and career progression</w:t>
      </w:r>
      <w:r w:rsidR="00931C89" w:rsidRPr="00931C89">
        <w:rPr>
          <w:rFonts w:asciiTheme="minorHAnsi" w:eastAsia="Arial" w:hAnsiTheme="minorHAnsi" w:cstheme="minorHAnsi"/>
          <w:sz w:val="22"/>
          <w:lang w:val="en-US"/>
        </w:rPr>
        <w:t xml:space="preserve"> </w:t>
      </w:r>
      <w:r w:rsidR="00931C89">
        <w:rPr>
          <w:rFonts w:asciiTheme="minorHAnsi" w:eastAsia="Arial" w:hAnsiTheme="minorHAnsi" w:cstheme="minorHAnsi"/>
          <w:sz w:val="22"/>
          <w:lang w:val="en-US"/>
        </w:rPr>
        <w:t xml:space="preserve">by </w:t>
      </w:r>
      <w:r w:rsidR="00931C89" w:rsidRPr="00931C89">
        <w:rPr>
          <w:rFonts w:asciiTheme="minorHAnsi" w:eastAsia="Arial" w:hAnsiTheme="minorHAnsi" w:cstheme="minorHAnsi"/>
          <w:sz w:val="22"/>
          <w:lang w:val="en-US"/>
        </w:rPr>
        <w:t xml:space="preserve">defining clear pathways into and </w:t>
      </w:r>
      <w:proofErr w:type="gramStart"/>
      <w:r w:rsidR="00931C89" w:rsidRPr="00931C89">
        <w:rPr>
          <w:rFonts w:asciiTheme="minorHAnsi" w:eastAsia="Arial" w:hAnsiTheme="minorHAnsi" w:cstheme="minorHAnsi"/>
          <w:sz w:val="22"/>
          <w:lang w:val="en-US"/>
        </w:rPr>
        <w:t>through</w:t>
      </w:r>
      <w:proofErr w:type="gramEnd"/>
      <w:r w:rsidR="00931C89" w:rsidRPr="00931C89">
        <w:rPr>
          <w:rFonts w:asciiTheme="minorHAnsi" w:eastAsia="Arial" w:hAnsiTheme="minorHAnsi" w:cstheme="minorHAnsi"/>
          <w:sz w:val="22"/>
          <w:lang w:val="en-US"/>
        </w:rPr>
        <w:t xml:space="preserve"> </w:t>
      </w:r>
    </w:p>
    <w:p w14:paraId="4BE5B421" w14:textId="77777777" w:rsidR="00931C89" w:rsidRDefault="00931C89" w:rsidP="00931C89">
      <w:pPr>
        <w:pStyle w:val="ListParagraph"/>
        <w:widowControl w:val="0"/>
        <w:autoSpaceDE w:val="0"/>
        <w:autoSpaceDN w:val="0"/>
        <w:spacing w:before="0"/>
        <w:ind w:left="720"/>
        <w:rPr>
          <w:rFonts w:asciiTheme="minorHAnsi" w:eastAsia="Arial" w:hAnsiTheme="minorHAnsi" w:cstheme="minorHAnsi"/>
          <w:sz w:val="22"/>
          <w:lang w:val="en-US"/>
        </w:rPr>
      </w:pPr>
      <w:r w:rsidRPr="00931C89">
        <w:rPr>
          <w:rFonts w:asciiTheme="minorHAnsi" w:eastAsia="Arial" w:hAnsiTheme="minorHAnsi" w:cstheme="minorHAnsi"/>
          <w:sz w:val="22"/>
          <w:lang w:val="en-US"/>
        </w:rPr>
        <w:t>support worker roles</w:t>
      </w:r>
      <w:r>
        <w:rPr>
          <w:rFonts w:asciiTheme="minorHAnsi" w:eastAsia="Arial" w:hAnsiTheme="minorHAnsi" w:cstheme="minorHAnsi"/>
          <w:sz w:val="22"/>
          <w:lang w:val="en-US"/>
        </w:rPr>
        <w:t xml:space="preserve">, </w:t>
      </w:r>
      <w:proofErr w:type="gramStart"/>
      <w:r>
        <w:rPr>
          <w:rFonts w:asciiTheme="minorHAnsi" w:eastAsia="Arial" w:hAnsiTheme="minorHAnsi" w:cstheme="minorHAnsi"/>
          <w:sz w:val="22"/>
          <w:lang w:val="en-US"/>
        </w:rPr>
        <w:t>This</w:t>
      </w:r>
      <w:proofErr w:type="gramEnd"/>
      <w:r>
        <w:rPr>
          <w:rFonts w:asciiTheme="minorHAnsi" w:eastAsia="Arial" w:hAnsiTheme="minorHAnsi" w:cstheme="minorHAnsi"/>
          <w:sz w:val="22"/>
          <w:lang w:val="en-US"/>
        </w:rPr>
        <w:t xml:space="preserve"> will </w:t>
      </w:r>
      <w:r w:rsidRPr="00931C89">
        <w:rPr>
          <w:rFonts w:asciiTheme="minorHAnsi" w:eastAsia="Arial" w:hAnsiTheme="minorHAnsi" w:cstheme="minorHAnsi"/>
          <w:sz w:val="22"/>
          <w:lang w:val="en-US"/>
        </w:rPr>
        <w:t xml:space="preserve">not only increase job satisfaction and opportunities for support workers, but also </w:t>
      </w:r>
      <w:r>
        <w:rPr>
          <w:rFonts w:asciiTheme="minorHAnsi" w:eastAsia="Arial" w:hAnsiTheme="minorHAnsi" w:cstheme="minorHAnsi"/>
          <w:sz w:val="22"/>
          <w:lang w:val="en-US"/>
        </w:rPr>
        <w:t xml:space="preserve">support </w:t>
      </w:r>
      <w:r w:rsidRPr="00931C89">
        <w:rPr>
          <w:rFonts w:asciiTheme="minorHAnsi" w:eastAsia="Arial" w:hAnsiTheme="minorHAnsi" w:cstheme="minorHAnsi"/>
          <w:sz w:val="22"/>
          <w:lang w:val="en-US"/>
        </w:rPr>
        <w:t>build</w:t>
      </w:r>
      <w:r>
        <w:rPr>
          <w:rFonts w:asciiTheme="minorHAnsi" w:eastAsia="Arial" w:hAnsiTheme="minorHAnsi" w:cstheme="minorHAnsi"/>
          <w:sz w:val="22"/>
          <w:lang w:val="en-US"/>
        </w:rPr>
        <w:t>ing</w:t>
      </w:r>
      <w:r w:rsidRPr="00931C89">
        <w:rPr>
          <w:rFonts w:asciiTheme="minorHAnsi" w:eastAsia="Arial" w:hAnsiTheme="minorHAnsi" w:cstheme="minorHAnsi"/>
          <w:sz w:val="22"/>
          <w:lang w:val="en-US"/>
        </w:rPr>
        <w:t xml:space="preserve"> workforce capacity</w:t>
      </w:r>
      <w:r>
        <w:rPr>
          <w:rFonts w:asciiTheme="minorHAnsi" w:eastAsia="Arial" w:hAnsiTheme="minorHAnsi" w:cstheme="minorHAnsi"/>
          <w:sz w:val="22"/>
          <w:lang w:val="en-US"/>
        </w:rPr>
        <w:t xml:space="preserve">, </w:t>
      </w:r>
      <w:r w:rsidRPr="00931C89">
        <w:rPr>
          <w:rFonts w:asciiTheme="minorHAnsi" w:eastAsia="Arial" w:hAnsiTheme="minorHAnsi" w:cstheme="minorHAnsi"/>
          <w:sz w:val="22"/>
          <w:lang w:val="en-US"/>
        </w:rPr>
        <w:t>creat</w:t>
      </w:r>
      <w:r>
        <w:rPr>
          <w:rFonts w:asciiTheme="minorHAnsi" w:eastAsia="Arial" w:hAnsiTheme="minorHAnsi" w:cstheme="minorHAnsi"/>
          <w:sz w:val="22"/>
          <w:lang w:val="en-US"/>
        </w:rPr>
        <w:t>ing</w:t>
      </w:r>
      <w:r w:rsidRPr="00931C89">
        <w:rPr>
          <w:rFonts w:asciiTheme="minorHAnsi" w:eastAsia="Arial" w:hAnsiTheme="minorHAnsi" w:cstheme="minorHAnsi"/>
          <w:sz w:val="22"/>
          <w:lang w:val="en-US"/>
        </w:rPr>
        <w:t xml:space="preserve"> a more diverse workforce, and help</w:t>
      </w:r>
      <w:r>
        <w:rPr>
          <w:rFonts w:asciiTheme="minorHAnsi" w:eastAsia="Arial" w:hAnsiTheme="minorHAnsi" w:cstheme="minorHAnsi"/>
          <w:sz w:val="22"/>
          <w:lang w:val="en-US"/>
        </w:rPr>
        <w:t xml:space="preserve"> to</w:t>
      </w:r>
      <w:r w:rsidRPr="00931C89">
        <w:rPr>
          <w:rFonts w:asciiTheme="minorHAnsi" w:eastAsia="Arial" w:hAnsiTheme="minorHAnsi" w:cstheme="minorHAnsi"/>
          <w:sz w:val="22"/>
          <w:lang w:val="en-US"/>
        </w:rPr>
        <w:t xml:space="preserve"> secure future workforce supply</w:t>
      </w:r>
      <w:r>
        <w:rPr>
          <w:rFonts w:asciiTheme="minorHAnsi" w:eastAsia="Arial" w:hAnsiTheme="minorHAnsi" w:cstheme="minorHAnsi"/>
          <w:sz w:val="22"/>
          <w:lang w:val="en-US"/>
        </w:rPr>
        <w:t>.</w:t>
      </w:r>
      <w:r w:rsidR="00A23226" w:rsidRPr="00931C89">
        <w:rPr>
          <w:rFonts w:asciiTheme="minorHAnsi" w:eastAsia="Arial" w:hAnsiTheme="minorHAnsi" w:cstheme="minorHAnsi"/>
          <w:sz w:val="22"/>
          <w:lang w:val="en-US"/>
        </w:rPr>
        <w:t xml:space="preserve"> </w:t>
      </w:r>
    </w:p>
    <w:p w14:paraId="513B3890" w14:textId="5A3351FB" w:rsidR="00E45E4C" w:rsidRPr="00BF3853" w:rsidRDefault="00BF106D" w:rsidP="00BF3853">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Support for early career’s:</w:t>
      </w:r>
      <w:r w:rsidR="00BF3853">
        <w:rPr>
          <w:rFonts w:asciiTheme="minorHAnsi" w:eastAsia="Arial" w:hAnsiTheme="minorHAnsi" w:cstheme="minorHAnsi"/>
          <w:sz w:val="22"/>
          <w:lang w:val="en-US"/>
        </w:rPr>
        <w:t xml:space="preserve"> </w:t>
      </w:r>
      <w:r w:rsidR="00931C89" w:rsidRPr="00BF3853">
        <w:rPr>
          <w:rFonts w:asciiTheme="minorHAnsi" w:eastAsia="Arial" w:hAnsiTheme="minorHAnsi" w:cstheme="minorHAnsi"/>
          <w:sz w:val="22"/>
          <w:lang w:val="en-US"/>
        </w:rPr>
        <w:t>T</w:t>
      </w:r>
      <w:r w:rsidRPr="00BF3853">
        <w:rPr>
          <w:rFonts w:asciiTheme="minorHAnsi" w:eastAsia="Arial" w:hAnsiTheme="minorHAnsi" w:cstheme="minorHAnsi"/>
          <w:sz w:val="22"/>
          <w:lang w:val="en-US"/>
        </w:rPr>
        <w:t xml:space="preserve">he L &amp; D team </w:t>
      </w:r>
      <w:r w:rsidR="00E45E4C" w:rsidRPr="00BF3853">
        <w:rPr>
          <w:rFonts w:asciiTheme="minorHAnsi" w:eastAsia="Arial" w:hAnsiTheme="minorHAnsi" w:cstheme="minorHAnsi"/>
          <w:sz w:val="22"/>
          <w:lang w:val="en-US"/>
        </w:rPr>
        <w:t xml:space="preserve">continue to </w:t>
      </w:r>
      <w:r w:rsidRPr="00BF3853">
        <w:rPr>
          <w:rFonts w:asciiTheme="minorHAnsi" w:eastAsia="Arial" w:hAnsiTheme="minorHAnsi" w:cstheme="minorHAnsi"/>
          <w:sz w:val="22"/>
          <w:lang w:val="en-US"/>
        </w:rPr>
        <w:t>updat</w:t>
      </w:r>
      <w:r w:rsidR="00E45E4C" w:rsidRPr="00BF3853">
        <w:rPr>
          <w:rFonts w:asciiTheme="minorHAnsi" w:eastAsia="Arial" w:hAnsiTheme="minorHAnsi" w:cstheme="minorHAnsi"/>
          <w:sz w:val="22"/>
          <w:lang w:val="en-US"/>
        </w:rPr>
        <w:t xml:space="preserve">e the </w:t>
      </w:r>
      <w:r w:rsidRPr="00BF3853">
        <w:rPr>
          <w:rFonts w:asciiTheme="minorHAnsi" w:eastAsia="Arial" w:hAnsiTheme="minorHAnsi" w:cstheme="minorHAnsi"/>
          <w:sz w:val="22"/>
          <w:lang w:val="en-US"/>
        </w:rPr>
        <w:t xml:space="preserve">preceptorship provision in order to align with the National Allied Health Professionals Preceptorship and Foundation Support </w:t>
      </w:r>
      <w:r w:rsidR="006C26DB" w:rsidRPr="00BF3853">
        <w:rPr>
          <w:rFonts w:asciiTheme="minorHAnsi" w:eastAsia="Arial" w:hAnsiTheme="minorHAnsi" w:cstheme="minorHAnsi"/>
          <w:sz w:val="22"/>
          <w:lang w:val="en-US"/>
        </w:rPr>
        <w:t xml:space="preserve">programme </w:t>
      </w:r>
      <w:r w:rsidRPr="00BF3853">
        <w:rPr>
          <w:rFonts w:asciiTheme="minorHAnsi" w:eastAsia="Arial" w:hAnsiTheme="minorHAnsi" w:cstheme="minorHAnsi"/>
          <w:sz w:val="22"/>
          <w:lang w:val="en-US"/>
        </w:rPr>
        <w:t>and step to work</w:t>
      </w:r>
      <w:r w:rsidR="006C26DB" w:rsidRPr="00BF3853">
        <w:rPr>
          <w:rFonts w:asciiTheme="minorHAnsi" w:eastAsia="Arial" w:hAnsiTheme="minorHAnsi" w:cstheme="minorHAnsi"/>
          <w:sz w:val="22"/>
          <w:lang w:val="en-US"/>
        </w:rPr>
        <w:t xml:space="preserve">. </w:t>
      </w:r>
    </w:p>
    <w:p w14:paraId="024F10F6" w14:textId="3D864C46" w:rsidR="00BF106D" w:rsidRDefault="00E45E4C" w:rsidP="00E45E4C">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Introduce newly qualified </w:t>
      </w:r>
      <w:r w:rsidRPr="00E45E4C">
        <w:rPr>
          <w:rFonts w:asciiTheme="minorHAnsi" w:eastAsia="Arial" w:hAnsiTheme="minorHAnsi" w:cstheme="minorHAnsi"/>
          <w:sz w:val="22"/>
          <w:lang w:val="en-US"/>
        </w:rPr>
        <w:t xml:space="preserve">nurse associate roles in </w:t>
      </w:r>
      <w:proofErr w:type="spellStart"/>
      <w:r w:rsidRPr="00E45E4C">
        <w:rPr>
          <w:rFonts w:asciiTheme="minorHAnsi" w:eastAsia="Arial" w:hAnsiTheme="minorHAnsi" w:cstheme="minorHAnsi"/>
          <w:sz w:val="22"/>
          <w:lang w:val="en-US"/>
        </w:rPr>
        <w:t>to</w:t>
      </w:r>
      <w:proofErr w:type="spellEnd"/>
      <w:r w:rsidRPr="00E45E4C">
        <w:rPr>
          <w:rFonts w:asciiTheme="minorHAnsi" w:eastAsia="Arial" w:hAnsiTheme="minorHAnsi" w:cstheme="minorHAnsi"/>
          <w:sz w:val="22"/>
          <w:lang w:val="en-US"/>
        </w:rPr>
        <w:t xml:space="preserve"> hard to fill areas</w:t>
      </w:r>
      <w:r>
        <w:rPr>
          <w:rFonts w:asciiTheme="minorHAnsi" w:eastAsia="Arial" w:hAnsiTheme="minorHAnsi" w:cstheme="minorHAnsi"/>
          <w:sz w:val="22"/>
          <w:lang w:val="en-US"/>
        </w:rPr>
        <w:t>. A review of the budgeted establishments will be required.</w:t>
      </w:r>
    </w:p>
    <w:p w14:paraId="6803ED09" w14:textId="77777777" w:rsidR="00BF3853" w:rsidRPr="00BF3853" w:rsidRDefault="00BF3853" w:rsidP="00BF3853">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sidRPr="00BF3853">
        <w:rPr>
          <w:rFonts w:asciiTheme="minorHAnsi" w:eastAsia="Arial" w:hAnsiTheme="minorHAnsi" w:cstheme="minorHAnsi"/>
          <w:sz w:val="22"/>
          <w:lang w:val="en-US"/>
        </w:rPr>
        <w:t>Continue with the rolling advert for HCAs.</w:t>
      </w:r>
    </w:p>
    <w:p w14:paraId="79A95459" w14:textId="77777777" w:rsidR="00BF3853" w:rsidRPr="00BF3853" w:rsidRDefault="00BF3853" w:rsidP="00BF3853">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sidRPr="00BF3853">
        <w:rPr>
          <w:rFonts w:asciiTheme="minorHAnsi" w:eastAsia="Arial" w:hAnsiTheme="minorHAnsi" w:cstheme="minorHAnsi"/>
          <w:sz w:val="22"/>
          <w:lang w:val="en-US"/>
        </w:rPr>
        <w:t>Promote HSCW roles/ vacancy at the next recruitment day.</w:t>
      </w:r>
    </w:p>
    <w:p w14:paraId="1BCA2005" w14:textId="2A9AAC37" w:rsidR="00BF3853" w:rsidRPr="00BF3853" w:rsidRDefault="00BF3853" w:rsidP="00BF3853">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sidRPr="00BF3853">
        <w:rPr>
          <w:rFonts w:asciiTheme="minorHAnsi" w:eastAsia="Arial" w:hAnsiTheme="minorHAnsi" w:cstheme="minorHAnsi"/>
          <w:sz w:val="22"/>
          <w:lang w:val="en-US"/>
        </w:rPr>
        <w:t>Continue to compile and report the weekly pipeline figures that supplements the NHSE weekly return.</w:t>
      </w:r>
    </w:p>
    <w:p w14:paraId="343B24AD" w14:textId="7FE392C5" w:rsidR="00BF3853" w:rsidRPr="00BF3853" w:rsidRDefault="00BF3853" w:rsidP="00BF3853">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Promote careers, roles and apprenticeship opportunities within local schools and colleges to support a </w:t>
      </w:r>
      <w:r w:rsidRPr="00BF3853">
        <w:rPr>
          <w:rFonts w:asciiTheme="minorHAnsi" w:eastAsia="Arial" w:hAnsiTheme="minorHAnsi" w:cstheme="minorHAnsi"/>
          <w:sz w:val="22"/>
          <w:lang w:val="en-US"/>
        </w:rPr>
        <w:t>grow our own workforce from within the local community</w:t>
      </w:r>
      <w:r>
        <w:rPr>
          <w:rFonts w:asciiTheme="minorHAnsi" w:eastAsia="Arial" w:hAnsiTheme="minorHAnsi" w:cstheme="minorHAnsi"/>
          <w:sz w:val="22"/>
          <w:lang w:val="en-US"/>
        </w:rPr>
        <w:t>.</w:t>
      </w:r>
    </w:p>
    <w:p w14:paraId="36ADCBA1" w14:textId="77777777" w:rsidR="00BF3853" w:rsidRDefault="00BF3853" w:rsidP="00BF3853">
      <w:pPr>
        <w:pStyle w:val="ListParagraph"/>
        <w:widowControl w:val="0"/>
        <w:autoSpaceDE w:val="0"/>
        <w:autoSpaceDN w:val="0"/>
        <w:spacing w:before="0"/>
        <w:ind w:left="720"/>
        <w:rPr>
          <w:rFonts w:asciiTheme="minorHAnsi" w:eastAsia="Arial" w:hAnsiTheme="minorHAnsi" w:cstheme="minorHAnsi"/>
          <w:sz w:val="22"/>
          <w:lang w:val="en-US"/>
        </w:rPr>
      </w:pPr>
    </w:p>
    <w:p w14:paraId="179BF759" w14:textId="4979DCDB" w:rsidR="00BF5D87" w:rsidRPr="00BF5D87" w:rsidRDefault="00931C89" w:rsidP="00BF5D87">
      <w:pPr>
        <w:widowControl w:val="0"/>
        <w:tabs>
          <w:tab w:val="left" w:pos="1043"/>
        </w:tabs>
        <w:autoSpaceDE w:val="0"/>
        <w:autoSpaceDN w:val="0"/>
        <w:spacing w:before="0"/>
        <w:jc w:val="both"/>
        <w:rPr>
          <w:rFonts w:asciiTheme="minorHAnsi" w:hAnsiTheme="minorHAnsi" w:cstheme="minorHAnsi"/>
          <w:sz w:val="22"/>
        </w:rPr>
      </w:pPr>
      <w:r>
        <w:rPr>
          <w:rFonts w:asciiTheme="minorHAnsi" w:hAnsiTheme="minorHAnsi" w:cstheme="minorHAnsi"/>
          <w:sz w:val="22"/>
        </w:rPr>
        <w:t>Continue with the Trust</w:t>
      </w:r>
      <w:r w:rsidR="00BF5D87" w:rsidRPr="00BF5D87">
        <w:rPr>
          <w:rFonts w:asciiTheme="minorHAnsi" w:hAnsiTheme="minorHAnsi" w:cstheme="minorHAnsi"/>
          <w:sz w:val="22"/>
        </w:rPr>
        <w:t>s</w:t>
      </w:r>
      <w:r>
        <w:rPr>
          <w:rFonts w:asciiTheme="minorHAnsi" w:hAnsiTheme="minorHAnsi" w:cstheme="minorHAnsi"/>
          <w:sz w:val="22"/>
        </w:rPr>
        <w:t xml:space="preserve"> t</w:t>
      </w:r>
      <w:r w:rsidR="00BF5D87" w:rsidRPr="00BF5D87">
        <w:rPr>
          <w:rFonts w:asciiTheme="minorHAnsi" w:hAnsiTheme="minorHAnsi" w:cstheme="minorHAnsi"/>
          <w:sz w:val="22"/>
        </w:rPr>
        <w:t xml:space="preserve">argeted actions to help support </w:t>
      </w:r>
      <w:proofErr w:type="gramStart"/>
      <w:r w:rsidR="00BF5D87" w:rsidRPr="00BF5D87">
        <w:rPr>
          <w:rFonts w:asciiTheme="minorHAnsi" w:hAnsiTheme="minorHAnsi" w:cstheme="minorHAnsi"/>
          <w:sz w:val="22"/>
        </w:rPr>
        <w:t>retention</w:t>
      </w:r>
      <w:r>
        <w:rPr>
          <w:rFonts w:asciiTheme="minorHAnsi" w:hAnsiTheme="minorHAnsi" w:cstheme="minorHAnsi"/>
          <w:sz w:val="22"/>
        </w:rPr>
        <w:t xml:space="preserve"> </w:t>
      </w:r>
      <w:r w:rsidR="00BF5D87" w:rsidRPr="00BF5D87">
        <w:rPr>
          <w:rFonts w:asciiTheme="minorHAnsi" w:hAnsiTheme="minorHAnsi" w:cstheme="minorHAnsi"/>
          <w:sz w:val="22"/>
        </w:rPr>
        <w:t>.</w:t>
      </w:r>
      <w:proofErr w:type="gramEnd"/>
    </w:p>
    <w:p w14:paraId="556CC003" w14:textId="77777777" w:rsidR="00BF5D87" w:rsidRPr="00BF5D87" w:rsidRDefault="00BF5D87" w:rsidP="00BF5D87">
      <w:pPr>
        <w:widowControl w:val="0"/>
        <w:tabs>
          <w:tab w:val="left" w:pos="1043"/>
        </w:tabs>
        <w:autoSpaceDE w:val="0"/>
        <w:autoSpaceDN w:val="0"/>
        <w:spacing w:before="0"/>
        <w:jc w:val="both"/>
        <w:rPr>
          <w:rFonts w:asciiTheme="minorHAnsi" w:hAnsiTheme="minorHAnsi" w:cstheme="minorHAnsi"/>
          <w:sz w:val="22"/>
        </w:rPr>
      </w:pPr>
    </w:p>
    <w:p w14:paraId="055E6D67" w14:textId="77777777" w:rsidR="00BF5D87" w:rsidRPr="00BF5D87" w:rsidRDefault="00BF5D87" w:rsidP="00BF5D87">
      <w:pPr>
        <w:widowControl w:val="0"/>
        <w:numPr>
          <w:ilvl w:val="0"/>
          <w:numId w:val="31"/>
        </w:numPr>
        <w:tabs>
          <w:tab w:val="left" w:pos="1043"/>
        </w:tabs>
        <w:autoSpaceDE w:val="0"/>
        <w:autoSpaceDN w:val="0"/>
        <w:spacing w:before="0" w:after="140"/>
        <w:contextualSpacing/>
        <w:jc w:val="both"/>
        <w:rPr>
          <w:rFonts w:asciiTheme="minorHAnsi" w:hAnsiTheme="minorHAnsi" w:cstheme="minorHAnsi"/>
          <w:sz w:val="22"/>
        </w:rPr>
      </w:pPr>
      <w:r w:rsidRPr="00BF5D87">
        <w:rPr>
          <w:rFonts w:asciiTheme="minorHAnsi" w:hAnsiTheme="minorHAnsi" w:cstheme="minorHAnsi"/>
          <w:sz w:val="22"/>
        </w:rPr>
        <w:t>Investing in education and career development and opportunities.</w:t>
      </w:r>
    </w:p>
    <w:p w14:paraId="1297BEAB"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Rotational post opportunities</w:t>
      </w:r>
    </w:p>
    <w:p w14:paraId="627A6D14"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Career conversations</w:t>
      </w:r>
    </w:p>
    <w:p w14:paraId="0DB772A2"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 xml:space="preserve">Educational offers and apprenticeships </w:t>
      </w:r>
    </w:p>
    <w:p w14:paraId="51B56693"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Use of the PNAs in the trust to support Restorative clinical supervision and signposting to Quality improvement and educational opportunities.</w:t>
      </w:r>
    </w:p>
    <w:p w14:paraId="372CF84F" w14:textId="6892B1C5" w:rsid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Reviewing with the ICS legacy mentors and support with new to post staff from a band 7 and up</w:t>
      </w:r>
      <w:r w:rsidR="0006682A">
        <w:rPr>
          <w:rFonts w:asciiTheme="minorHAnsi" w:hAnsiTheme="minorHAnsi" w:cstheme="minorHAnsi"/>
          <w:bCs/>
          <w:sz w:val="22"/>
        </w:rPr>
        <w:t>.</w:t>
      </w:r>
      <w:r w:rsidRPr="00BF5D87">
        <w:rPr>
          <w:rFonts w:asciiTheme="minorHAnsi" w:hAnsiTheme="minorHAnsi" w:cstheme="minorHAnsi"/>
          <w:bCs/>
          <w:sz w:val="22"/>
        </w:rPr>
        <w:t xml:space="preserve"> </w:t>
      </w:r>
    </w:p>
    <w:p w14:paraId="0E3D5515" w14:textId="77777777" w:rsidR="00931C89" w:rsidRDefault="00931C89" w:rsidP="00931C89">
      <w:pPr>
        <w:widowControl w:val="0"/>
        <w:tabs>
          <w:tab w:val="left" w:pos="1043"/>
        </w:tabs>
        <w:autoSpaceDE w:val="0"/>
        <w:autoSpaceDN w:val="0"/>
        <w:spacing w:before="0" w:after="140"/>
        <w:ind w:left="720"/>
        <w:contextualSpacing/>
        <w:jc w:val="both"/>
        <w:rPr>
          <w:rFonts w:asciiTheme="minorHAnsi" w:hAnsiTheme="minorHAnsi" w:cstheme="minorHAnsi"/>
          <w:bCs/>
          <w:sz w:val="22"/>
        </w:rPr>
      </w:pPr>
    </w:p>
    <w:p w14:paraId="4C040A52" w14:textId="1BA26020" w:rsidR="00996ADB" w:rsidRDefault="00B95CDD" w:rsidP="00B95CDD">
      <w:pPr>
        <w:pStyle w:val="FirstHeading"/>
        <w:pBdr>
          <w:bottom w:val="single" w:sz="4" w:space="1" w:color="auto"/>
        </w:pBdr>
        <w:rPr>
          <w:sz w:val="22"/>
          <w:szCs w:val="22"/>
        </w:rPr>
      </w:pPr>
      <w:r>
        <w:rPr>
          <w:sz w:val="22"/>
          <w:szCs w:val="22"/>
        </w:rPr>
        <w:t>4.</w:t>
      </w:r>
      <w:r>
        <w:rPr>
          <w:sz w:val="22"/>
          <w:szCs w:val="22"/>
        </w:rPr>
        <w:tab/>
      </w:r>
      <w:r w:rsidR="00996ADB" w:rsidRPr="00330E4F">
        <w:rPr>
          <w:sz w:val="22"/>
          <w:szCs w:val="22"/>
        </w:rPr>
        <w:t>R</w:t>
      </w:r>
      <w:r w:rsidR="00377560">
        <w:rPr>
          <w:sz w:val="22"/>
          <w:szCs w:val="22"/>
        </w:rPr>
        <w:t>ecommendation</w:t>
      </w:r>
    </w:p>
    <w:p w14:paraId="09357704" w14:textId="13BB7C37" w:rsidR="00BF5D87" w:rsidRPr="000B1816" w:rsidRDefault="00BF5D87" w:rsidP="00BF5D87">
      <w:pPr>
        <w:rPr>
          <w:b/>
          <w:bCs/>
          <w:sz w:val="22"/>
        </w:rPr>
      </w:pPr>
      <w:r w:rsidRPr="000B1816">
        <w:rPr>
          <w:rFonts w:asciiTheme="minorHAnsi" w:hAnsiTheme="minorHAnsi" w:cstheme="minorHAnsi"/>
          <w:sz w:val="22"/>
        </w:rPr>
        <w:t xml:space="preserve">The </w:t>
      </w:r>
      <w:r w:rsidR="001E7E6F">
        <w:rPr>
          <w:rFonts w:asciiTheme="minorHAnsi" w:hAnsiTheme="minorHAnsi" w:cstheme="minorHAnsi"/>
          <w:sz w:val="22"/>
        </w:rPr>
        <w:t xml:space="preserve">ongoing challenges around the </w:t>
      </w:r>
      <w:r w:rsidRPr="000B1816">
        <w:rPr>
          <w:rFonts w:asciiTheme="minorHAnsi" w:hAnsiTheme="minorHAnsi" w:cstheme="minorHAnsi"/>
          <w:sz w:val="22"/>
        </w:rPr>
        <w:t xml:space="preserve">increasing nurse vacancy position is unlikely to improve without significant action being taken to improve our recruitment and retention strategies. The nursing team are looking to </w:t>
      </w:r>
      <w:r w:rsidR="001E7E6F">
        <w:rPr>
          <w:rFonts w:asciiTheme="minorHAnsi" w:hAnsiTheme="minorHAnsi" w:cstheme="minorHAnsi"/>
          <w:sz w:val="22"/>
        </w:rPr>
        <w:t>deploy qualifying</w:t>
      </w:r>
      <w:r w:rsidRPr="000B1816">
        <w:rPr>
          <w:rFonts w:asciiTheme="minorHAnsi" w:hAnsiTheme="minorHAnsi" w:cstheme="minorHAnsi"/>
          <w:sz w:val="22"/>
        </w:rPr>
        <w:t xml:space="preserve"> nurse associate roles</w:t>
      </w:r>
      <w:r w:rsidR="001E7E6F">
        <w:rPr>
          <w:rFonts w:asciiTheme="minorHAnsi" w:hAnsiTheme="minorHAnsi" w:cstheme="minorHAnsi"/>
          <w:sz w:val="22"/>
        </w:rPr>
        <w:t xml:space="preserve"> and international recruits</w:t>
      </w:r>
      <w:r w:rsidRPr="000B1816">
        <w:rPr>
          <w:rFonts w:asciiTheme="minorHAnsi" w:hAnsiTheme="minorHAnsi" w:cstheme="minorHAnsi"/>
          <w:sz w:val="22"/>
        </w:rPr>
        <w:t xml:space="preserve"> into hard to fill areas and the focus on</w:t>
      </w:r>
      <w:r w:rsidR="001E7E6F">
        <w:rPr>
          <w:rFonts w:asciiTheme="minorHAnsi" w:hAnsiTheme="minorHAnsi" w:cstheme="minorHAnsi"/>
          <w:sz w:val="22"/>
        </w:rPr>
        <w:t xml:space="preserve"> </w:t>
      </w:r>
      <w:r w:rsidRPr="000B1816">
        <w:rPr>
          <w:rFonts w:asciiTheme="minorHAnsi" w:hAnsiTheme="minorHAnsi" w:cstheme="minorHAnsi"/>
          <w:sz w:val="22"/>
        </w:rPr>
        <w:t>recruitment actions continues.</w:t>
      </w:r>
    </w:p>
    <w:p w14:paraId="632379FE"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Safer staffing report to come to people committee </w:t>
      </w:r>
      <w:proofErr w:type="gramStart"/>
      <w:r w:rsidRPr="000B1816">
        <w:rPr>
          <w:rFonts w:asciiTheme="minorHAnsi" w:hAnsiTheme="minorHAnsi" w:cstheme="minorHAnsi"/>
          <w:sz w:val="22"/>
        </w:rPr>
        <w:t>monthly</w:t>
      </w:r>
      <w:proofErr w:type="gramEnd"/>
      <w:r w:rsidRPr="000B1816">
        <w:rPr>
          <w:rFonts w:asciiTheme="minorHAnsi" w:hAnsiTheme="minorHAnsi" w:cstheme="minorHAnsi"/>
          <w:sz w:val="22"/>
        </w:rPr>
        <w:t xml:space="preserve"> </w:t>
      </w:r>
    </w:p>
    <w:p w14:paraId="630BDF30"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Progress actions through recruitment and retention task and finish group led by Chief People Officer/Chief Nursing Officer  </w:t>
      </w:r>
    </w:p>
    <w:p w14:paraId="597E0D14" w14:textId="77777777" w:rsidR="00BF5D87" w:rsidRPr="000B1816" w:rsidRDefault="00BF5D87" w:rsidP="00BF5D87">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3C88D88" w14:textId="77777777" w:rsidR="00BF5D87" w:rsidRPr="007E1D8B" w:rsidRDefault="00BF5D87" w:rsidP="00BF5D87">
      <w:pPr>
        <w:pStyle w:val="Table-text"/>
        <w:spacing w:before="0" w:after="0"/>
        <w:rPr>
          <w:rFonts w:cs="Arial"/>
          <w:iCs/>
          <w:szCs w:val="20"/>
          <w:lang w:val="en-US"/>
        </w:rPr>
      </w:pPr>
    </w:p>
    <w:p w14:paraId="390D2926" w14:textId="77777777" w:rsidR="00BF5D87" w:rsidRDefault="00BF5D87" w:rsidP="00BF5D87">
      <w:pPr>
        <w:rPr>
          <w:rFonts w:cs="Arial"/>
          <w:b/>
          <w:sz w:val="22"/>
        </w:rPr>
      </w:pPr>
    </w:p>
    <w:p w14:paraId="4797A439" w14:textId="1F83EDC2" w:rsidR="00BF5D87" w:rsidRPr="00BF5D87" w:rsidRDefault="00BF5D87" w:rsidP="00BF5D87">
      <w:pPr>
        <w:tabs>
          <w:tab w:val="left" w:pos="1110"/>
        </w:tabs>
      </w:pPr>
      <w:r>
        <w:tab/>
      </w:r>
    </w:p>
    <w:sectPr w:rsidR="00BF5D87" w:rsidRPr="00BF5D87" w:rsidSect="00925921">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9D91" w14:textId="77777777" w:rsidR="007D431B" w:rsidRDefault="007D431B" w:rsidP="007F6098">
      <w:pPr>
        <w:spacing w:before="0"/>
      </w:pPr>
      <w:r>
        <w:separator/>
      </w:r>
    </w:p>
  </w:endnote>
  <w:endnote w:type="continuationSeparator" w:id="0">
    <w:p w14:paraId="41037D44" w14:textId="77777777" w:rsidR="007D431B" w:rsidRDefault="007D431B" w:rsidP="007F60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eorgia-Italic">
    <w:altName w:val="Georgia"/>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30904"/>
      <w:docPartObj>
        <w:docPartGallery w:val="Page Numbers (Bottom of Page)"/>
        <w:docPartUnique/>
      </w:docPartObj>
    </w:sdtPr>
    <w:sdtEndPr>
      <w:rPr>
        <w:noProof/>
      </w:rPr>
    </w:sdtEndPr>
    <w:sdtContent>
      <w:p w14:paraId="54E244EF" w14:textId="77777777" w:rsidR="009F426B" w:rsidRDefault="009F426B">
        <w:pPr>
          <w:pStyle w:val="Footer"/>
          <w:jc w:val="right"/>
        </w:pPr>
        <w:r>
          <w:fldChar w:fldCharType="begin"/>
        </w:r>
        <w:r>
          <w:instrText xml:space="preserve"> PAGE   \* MERGEFORMAT </w:instrText>
        </w:r>
        <w:r>
          <w:fldChar w:fldCharType="separate"/>
        </w:r>
        <w:r w:rsidR="00436D9E">
          <w:rPr>
            <w:noProof/>
          </w:rPr>
          <w:t>1</w:t>
        </w:r>
        <w:r>
          <w:rPr>
            <w:noProof/>
          </w:rPr>
          <w:fldChar w:fldCharType="end"/>
        </w:r>
      </w:p>
    </w:sdtContent>
  </w:sdt>
  <w:p w14:paraId="54E244F0" w14:textId="39B01482" w:rsidR="009F426B" w:rsidRPr="003E70D8" w:rsidRDefault="009F426B">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B3AA" w14:textId="77777777" w:rsidR="007D431B" w:rsidRDefault="007D431B" w:rsidP="007F6098">
      <w:pPr>
        <w:spacing w:before="0"/>
      </w:pPr>
      <w:r>
        <w:separator/>
      </w:r>
    </w:p>
  </w:footnote>
  <w:footnote w:type="continuationSeparator" w:id="0">
    <w:p w14:paraId="22F2E11B" w14:textId="77777777" w:rsidR="007D431B" w:rsidRDefault="007D431B" w:rsidP="007F60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44EC" w14:textId="056D563C" w:rsidR="009F426B" w:rsidRDefault="009F426B" w:rsidP="007F6098">
    <w:pPr>
      <w:pStyle w:val="Headerfooter"/>
      <w:rPr>
        <w:rFonts w:cs="Arial"/>
        <w:color w:val="auto"/>
        <w:sz w:val="32"/>
      </w:rPr>
    </w:pPr>
    <w:r>
      <w:rPr>
        <w:rFonts w:cs="Arial"/>
        <w:noProof/>
        <w:color w:val="auto"/>
        <w:sz w:val="32"/>
        <w:lang w:eastAsia="en-GB"/>
      </w:rPr>
      <w:drawing>
        <wp:anchor distT="0" distB="0" distL="114300" distR="114300" simplePos="0" relativeHeight="251657216" behindDoc="1" locked="0" layoutInCell="1" allowOverlap="1" wp14:anchorId="54E244F1" wp14:editId="54E244F2">
          <wp:simplePos x="0" y="0"/>
          <wp:positionH relativeFrom="column">
            <wp:posOffset>2505075</wp:posOffset>
          </wp:positionH>
          <wp:positionV relativeFrom="paragraph">
            <wp:posOffset>-288290</wp:posOffset>
          </wp:positionV>
          <wp:extent cx="3505200" cy="712976"/>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12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44ED" w14:textId="518C7266" w:rsidR="009F426B" w:rsidRPr="000B1816" w:rsidRDefault="000B1816" w:rsidP="000B1816">
    <w:pPr>
      <w:pStyle w:val="Heading2"/>
      <w:pBdr>
        <w:bottom w:val="single" w:sz="4" w:space="13" w:color="7F7F7F" w:themeColor="text1" w:themeTint="80"/>
      </w:pBdr>
      <w:rPr>
        <w:color w:val="auto"/>
        <w:sz w:val="22"/>
        <w:szCs w:val="22"/>
      </w:rPr>
    </w:pPr>
    <w:r w:rsidRPr="000B1816">
      <w:rPr>
        <w:rFonts w:cs="Arial"/>
        <w:color w:val="4F81BD" w:themeColor="accent1"/>
        <w:sz w:val="22"/>
        <w:szCs w:val="22"/>
      </w:rPr>
      <w:t xml:space="preserve">Nurse Safe Staffing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03"/>
    <w:multiLevelType w:val="multilevel"/>
    <w:tmpl w:val="9392C1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77334"/>
    <w:multiLevelType w:val="hybridMultilevel"/>
    <w:tmpl w:val="C2A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D8E"/>
    <w:multiLevelType w:val="hybridMultilevel"/>
    <w:tmpl w:val="40D242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0BAD2E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C33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E6B9C"/>
    <w:multiLevelType w:val="multilevel"/>
    <w:tmpl w:val="BBC03D2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61263D"/>
    <w:multiLevelType w:val="hybridMultilevel"/>
    <w:tmpl w:val="354C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7A65E4"/>
    <w:multiLevelType w:val="hybridMultilevel"/>
    <w:tmpl w:val="3C3E9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E2D60"/>
    <w:multiLevelType w:val="hybridMultilevel"/>
    <w:tmpl w:val="612C4D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180B0CEE"/>
    <w:multiLevelType w:val="multilevel"/>
    <w:tmpl w:val="3A72A266"/>
    <w:lvl w:ilvl="0">
      <w:start w:val="1"/>
      <w:numFmt w:val="bullet"/>
      <w:lvlText w:val=""/>
      <w:lvlJc w:val="left"/>
      <w:pPr>
        <w:ind w:left="360" w:hanging="3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5C0FC0"/>
    <w:multiLevelType w:val="hybridMultilevel"/>
    <w:tmpl w:val="89922B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BF62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7C4B24"/>
    <w:multiLevelType w:val="hybridMultilevel"/>
    <w:tmpl w:val="EC08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4564BF"/>
    <w:multiLevelType w:val="hybridMultilevel"/>
    <w:tmpl w:val="884C4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531DD"/>
    <w:multiLevelType w:val="multilevel"/>
    <w:tmpl w:val="21C2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F1443B"/>
    <w:multiLevelType w:val="hybridMultilevel"/>
    <w:tmpl w:val="B2C6063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6" w15:restartNumberingAfterBreak="0">
    <w:nsid w:val="3DD608F4"/>
    <w:multiLevelType w:val="hybridMultilevel"/>
    <w:tmpl w:val="D604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7E67F8"/>
    <w:multiLevelType w:val="multilevel"/>
    <w:tmpl w:val="D4FA161A"/>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367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B014F0"/>
    <w:multiLevelType w:val="hybridMultilevel"/>
    <w:tmpl w:val="D29C3EE4"/>
    <w:lvl w:ilvl="0" w:tplc="0ACC8156">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567E8"/>
    <w:multiLevelType w:val="hybridMultilevel"/>
    <w:tmpl w:val="4CCA58B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1" w15:restartNumberingAfterBreak="0">
    <w:nsid w:val="547E1F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F57F36"/>
    <w:multiLevelType w:val="hybridMultilevel"/>
    <w:tmpl w:val="2132D79C"/>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3" w15:restartNumberingAfterBreak="0">
    <w:nsid w:val="57C7335C"/>
    <w:multiLevelType w:val="hybridMultilevel"/>
    <w:tmpl w:val="01881CEE"/>
    <w:lvl w:ilvl="0" w:tplc="4356C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BA5031"/>
    <w:multiLevelType w:val="hybridMultilevel"/>
    <w:tmpl w:val="81644ECA"/>
    <w:lvl w:ilvl="0" w:tplc="219A7F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40597A"/>
    <w:multiLevelType w:val="hybridMultilevel"/>
    <w:tmpl w:val="DD1E43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6" w15:restartNumberingAfterBreak="0">
    <w:nsid w:val="70D32459"/>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3986684"/>
    <w:multiLevelType w:val="hybridMultilevel"/>
    <w:tmpl w:val="396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81F63"/>
    <w:multiLevelType w:val="hybridMultilevel"/>
    <w:tmpl w:val="4390792C"/>
    <w:lvl w:ilvl="0" w:tplc="EE08686E">
      <w:start w:val="1"/>
      <w:numFmt w:val="bullet"/>
      <w:lvlText w:val=""/>
      <w:lvlJc w:val="left"/>
      <w:pPr>
        <w:ind w:left="360" w:hanging="360"/>
      </w:pPr>
      <w:rPr>
        <w:rFonts w:ascii="Symbol" w:hAnsi="Symbol"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9B3574"/>
    <w:multiLevelType w:val="hybridMultilevel"/>
    <w:tmpl w:val="DAC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04072">
    <w:abstractNumId w:val="20"/>
  </w:num>
  <w:num w:numId="2" w16cid:durableId="1608659126">
    <w:abstractNumId w:val="20"/>
  </w:num>
  <w:num w:numId="3" w16cid:durableId="267858768">
    <w:abstractNumId w:val="10"/>
  </w:num>
  <w:num w:numId="4" w16cid:durableId="1495491557">
    <w:abstractNumId w:val="10"/>
  </w:num>
  <w:num w:numId="5" w16cid:durableId="1758479526">
    <w:abstractNumId w:val="15"/>
  </w:num>
  <w:num w:numId="6" w16cid:durableId="1190804194">
    <w:abstractNumId w:val="15"/>
  </w:num>
  <w:num w:numId="7" w16cid:durableId="801994353">
    <w:abstractNumId w:val="8"/>
  </w:num>
  <w:num w:numId="8" w16cid:durableId="1481531691">
    <w:abstractNumId w:val="12"/>
  </w:num>
  <w:num w:numId="9" w16cid:durableId="1183057345">
    <w:abstractNumId w:val="25"/>
  </w:num>
  <w:num w:numId="10" w16cid:durableId="2107843261">
    <w:abstractNumId w:val="22"/>
  </w:num>
  <w:num w:numId="11" w16cid:durableId="511644260">
    <w:abstractNumId w:val="2"/>
  </w:num>
  <w:num w:numId="12" w16cid:durableId="319893960">
    <w:abstractNumId w:val="0"/>
  </w:num>
  <w:num w:numId="13" w16cid:durableId="1459958808">
    <w:abstractNumId w:val="21"/>
  </w:num>
  <w:num w:numId="14" w16cid:durableId="493641965">
    <w:abstractNumId w:val="5"/>
  </w:num>
  <w:num w:numId="15" w16cid:durableId="1709375820">
    <w:abstractNumId w:val="4"/>
  </w:num>
  <w:num w:numId="16" w16cid:durableId="823163993">
    <w:abstractNumId w:val="17"/>
  </w:num>
  <w:num w:numId="17" w16cid:durableId="1827670816">
    <w:abstractNumId w:val="7"/>
  </w:num>
  <w:num w:numId="18" w16cid:durableId="1949118949">
    <w:abstractNumId w:val="11"/>
  </w:num>
  <w:num w:numId="19" w16cid:durableId="1976720122">
    <w:abstractNumId w:val="3"/>
  </w:num>
  <w:num w:numId="20" w16cid:durableId="565650368">
    <w:abstractNumId w:val="18"/>
  </w:num>
  <w:num w:numId="21" w16cid:durableId="151339128">
    <w:abstractNumId w:val="19"/>
  </w:num>
  <w:num w:numId="22" w16cid:durableId="101191977">
    <w:abstractNumId w:val="14"/>
  </w:num>
  <w:num w:numId="23" w16cid:durableId="1982733284">
    <w:abstractNumId w:val="28"/>
  </w:num>
  <w:num w:numId="24" w16cid:durableId="874542562">
    <w:abstractNumId w:val="24"/>
  </w:num>
  <w:num w:numId="25" w16cid:durableId="823661867">
    <w:abstractNumId w:val="23"/>
  </w:num>
  <w:num w:numId="26" w16cid:durableId="864517253">
    <w:abstractNumId w:val="29"/>
  </w:num>
  <w:num w:numId="27" w16cid:durableId="1396203235">
    <w:abstractNumId w:val="9"/>
  </w:num>
  <w:num w:numId="28" w16cid:durableId="1040203544">
    <w:abstractNumId w:val="26"/>
  </w:num>
  <w:num w:numId="29" w16cid:durableId="1136218324">
    <w:abstractNumId w:val="1"/>
  </w:num>
  <w:num w:numId="30" w16cid:durableId="826240150">
    <w:abstractNumId w:val="16"/>
  </w:num>
  <w:num w:numId="31" w16cid:durableId="1915236166">
    <w:abstractNumId w:val="27"/>
  </w:num>
  <w:num w:numId="32" w16cid:durableId="43679362">
    <w:abstractNumId w:val="6"/>
  </w:num>
  <w:num w:numId="33" w16cid:durableId="18510955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8"/>
    <w:rsid w:val="00004202"/>
    <w:rsid w:val="00015622"/>
    <w:rsid w:val="00015D10"/>
    <w:rsid w:val="00015ED5"/>
    <w:rsid w:val="0001783E"/>
    <w:rsid w:val="000258C2"/>
    <w:rsid w:val="00025FBF"/>
    <w:rsid w:val="00030A72"/>
    <w:rsid w:val="00032545"/>
    <w:rsid w:val="00034202"/>
    <w:rsid w:val="00037407"/>
    <w:rsid w:val="00053308"/>
    <w:rsid w:val="00054A95"/>
    <w:rsid w:val="000558DF"/>
    <w:rsid w:val="0006682A"/>
    <w:rsid w:val="00067653"/>
    <w:rsid w:val="000678CA"/>
    <w:rsid w:val="0007463F"/>
    <w:rsid w:val="00076FF3"/>
    <w:rsid w:val="000A1915"/>
    <w:rsid w:val="000A3358"/>
    <w:rsid w:val="000A35BE"/>
    <w:rsid w:val="000A4978"/>
    <w:rsid w:val="000A7ED8"/>
    <w:rsid w:val="000B1816"/>
    <w:rsid w:val="000B4569"/>
    <w:rsid w:val="000B4592"/>
    <w:rsid w:val="000B4CEB"/>
    <w:rsid w:val="000B676D"/>
    <w:rsid w:val="000B7291"/>
    <w:rsid w:val="000C08E1"/>
    <w:rsid w:val="000C288E"/>
    <w:rsid w:val="000C33A9"/>
    <w:rsid w:val="000C385F"/>
    <w:rsid w:val="000C77DF"/>
    <w:rsid w:val="000D04E5"/>
    <w:rsid w:val="000D349B"/>
    <w:rsid w:val="000E68C8"/>
    <w:rsid w:val="000F2286"/>
    <w:rsid w:val="000F71A1"/>
    <w:rsid w:val="001002EE"/>
    <w:rsid w:val="001038E1"/>
    <w:rsid w:val="00106135"/>
    <w:rsid w:val="001122D7"/>
    <w:rsid w:val="001169AC"/>
    <w:rsid w:val="00123A94"/>
    <w:rsid w:val="0012539B"/>
    <w:rsid w:val="0012738E"/>
    <w:rsid w:val="00131C81"/>
    <w:rsid w:val="00137DFD"/>
    <w:rsid w:val="001451AC"/>
    <w:rsid w:val="00153BA8"/>
    <w:rsid w:val="00157C1B"/>
    <w:rsid w:val="001611B0"/>
    <w:rsid w:val="00165144"/>
    <w:rsid w:val="00171D3F"/>
    <w:rsid w:val="00177D49"/>
    <w:rsid w:val="00182145"/>
    <w:rsid w:val="00185889"/>
    <w:rsid w:val="001A1BEB"/>
    <w:rsid w:val="001A75C3"/>
    <w:rsid w:val="001B04FE"/>
    <w:rsid w:val="001B2F64"/>
    <w:rsid w:val="001B40E6"/>
    <w:rsid w:val="001B4AAD"/>
    <w:rsid w:val="001D4ADA"/>
    <w:rsid w:val="001D6798"/>
    <w:rsid w:val="001D6C36"/>
    <w:rsid w:val="001E4458"/>
    <w:rsid w:val="001E7354"/>
    <w:rsid w:val="001E7E6F"/>
    <w:rsid w:val="0020253F"/>
    <w:rsid w:val="00204F73"/>
    <w:rsid w:val="002060DF"/>
    <w:rsid w:val="00207312"/>
    <w:rsid w:val="00211925"/>
    <w:rsid w:val="00214C85"/>
    <w:rsid w:val="00216395"/>
    <w:rsid w:val="00222A0D"/>
    <w:rsid w:val="002242B9"/>
    <w:rsid w:val="00231C0F"/>
    <w:rsid w:val="00233855"/>
    <w:rsid w:val="00237A2B"/>
    <w:rsid w:val="00242D33"/>
    <w:rsid w:val="00243CA0"/>
    <w:rsid w:val="00245345"/>
    <w:rsid w:val="0025084A"/>
    <w:rsid w:val="00254B51"/>
    <w:rsid w:val="00255098"/>
    <w:rsid w:val="00255D18"/>
    <w:rsid w:val="002625AE"/>
    <w:rsid w:val="00262F01"/>
    <w:rsid w:val="00273714"/>
    <w:rsid w:val="0028061D"/>
    <w:rsid w:val="00295ACE"/>
    <w:rsid w:val="002A2112"/>
    <w:rsid w:val="002A4627"/>
    <w:rsid w:val="002A63E9"/>
    <w:rsid w:val="002A6D09"/>
    <w:rsid w:val="002A745B"/>
    <w:rsid w:val="002A760E"/>
    <w:rsid w:val="002B18C0"/>
    <w:rsid w:val="002B272F"/>
    <w:rsid w:val="002B2D71"/>
    <w:rsid w:val="002B5266"/>
    <w:rsid w:val="002C1C46"/>
    <w:rsid w:val="002C3CDA"/>
    <w:rsid w:val="002E0130"/>
    <w:rsid w:val="002E3D7F"/>
    <w:rsid w:val="002F5771"/>
    <w:rsid w:val="002F6817"/>
    <w:rsid w:val="00306DD6"/>
    <w:rsid w:val="00306F94"/>
    <w:rsid w:val="0031049A"/>
    <w:rsid w:val="003138C7"/>
    <w:rsid w:val="00326DB4"/>
    <w:rsid w:val="00330E4F"/>
    <w:rsid w:val="00334B67"/>
    <w:rsid w:val="0033508B"/>
    <w:rsid w:val="003365A2"/>
    <w:rsid w:val="00336A4E"/>
    <w:rsid w:val="00336B12"/>
    <w:rsid w:val="00341678"/>
    <w:rsid w:val="003430E3"/>
    <w:rsid w:val="00343DB5"/>
    <w:rsid w:val="00345BF1"/>
    <w:rsid w:val="00356816"/>
    <w:rsid w:val="00357E36"/>
    <w:rsid w:val="0036399B"/>
    <w:rsid w:val="00367FC0"/>
    <w:rsid w:val="00374C62"/>
    <w:rsid w:val="0037613A"/>
    <w:rsid w:val="003769E8"/>
    <w:rsid w:val="00377560"/>
    <w:rsid w:val="003814E6"/>
    <w:rsid w:val="003825D3"/>
    <w:rsid w:val="0038737D"/>
    <w:rsid w:val="00392A4C"/>
    <w:rsid w:val="003A1A4C"/>
    <w:rsid w:val="003B083A"/>
    <w:rsid w:val="003B5878"/>
    <w:rsid w:val="003B71BD"/>
    <w:rsid w:val="003E29A0"/>
    <w:rsid w:val="003E70D8"/>
    <w:rsid w:val="003F0381"/>
    <w:rsid w:val="003F2238"/>
    <w:rsid w:val="00401A9D"/>
    <w:rsid w:val="0040289D"/>
    <w:rsid w:val="00404802"/>
    <w:rsid w:val="004051BF"/>
    <w:rsid w:val="00413190"/>
    <w:rsid w:val="00421459"/>
    <w:rsid w:val="00430C40"/>
    <w:rsid w:val="00432F7F"/>
    <w:rsid w:val="00436D9E"/>
    <w:rsid w:val="00444C9E"/>
    <w:rsid w:val="0045134D"/>
    <w:rsid w:val="0045776F"/>
    <w:rsid w:val="00460AE7"/>
    <w:rsid w:val="00464EE1"/>
    <w:rsid w:val="00466A80"/>
    <w:rsid w:val="00470140"/>
    <w:rsid w:val="004773ED"/>
    <w:rsid w:val="00486AA9"/>
    <w:rsid w:val="00490A2C"/>
    <w:rsid w:val="00497042"/>
    <w:rsid w:val="004A0C89"/>
    <w:rsid w:val="004A22CF"/>
    <w:rsid w:val="004A2CB4"/>
    <w:rsid w:val="004A6D29"/>
    <w:rsid w:val="004C4A79"/>
    <w:rsid w:val="004C5B5B"/>
    <w:rsid w:val="004D0DE1"/>
    <w:rsid w:val="004E1202"/>
    <w:rsid w:val="004E14E7"/>
    <w:rsid w:val="004E3508"/>
    <w:rsid w:val="004E37B0"/>
    <w:rsid w:val="004E6C78"/>
    <w:rsid w:val="004F7C79"/>
    <w:rsid w:val="00501AB4"/>
    <w:rsid w:val="0050380D"/>
    <w:rsid w:val="00503970"/>
    <w:rsid w:val="0050417D"/>
    <w:rsid w:val="00511AA9"/>
    <w:rsid w:val="005211A8"/>
    <w:rsid w:val="0053292D"/>
    <w:rsid w:val="00534578"/>
    <w:rsid w:val="005348B8"/>
    <w:rsid w:val="00534E10"/>
    <w:rsid w:val="00540763"/>
    <w:rsid w:val="005448CF"/>
    <w:rsid w:val="0054766C"/>
    <w:rsid w:val="005554D0"/>
    <w:rsid w:val="00556F78"/>
    <w:rsid w:val="005574B3"/>
    <w:rsid w:val="00561B25"/>
    <w:rsid w:val="00565D95"/>
    <w:rsid w:val="0057046B"/>
    <w:rsid w:val="00573F4C"/>
    <w:rsid w:val="00580D85"/>
    <w:rsid w:val="00586A5C"/>
    <w:rsid w:val="00597279"/>
    <w:rsid w:val="005A7D03"/>
    <w:rsid w:val="005B3509"/>
    <w:rsid w:val="005B4081"/>
    <w:rsid w:val="005B4B46"/>
    <w:rsid w:val="005B6D7B"/>
    <w:rsid w:val="005C0AB7"/>
    <w:rsid w:val="005C1D22"/>
    <w:rsid w:val="005E4F9A"/>
    <w:rsid w:val="005E6763"/>
    <w:rsid w:val="005F439A"/>
    <w:rsid w:val="005F443A"/>
    <w:rsid w:val="005F75DB"/>
    <w:rsid w:val="006213AB"/>
    <w:rsid w:val="00632754"/>
    <w:rsid w:val="006364B2"/>
    <w:rsid w:val="006416F5"/>
    <w:rsid w:val="00644FD7"/>
    <w:rsid w:val="006455AD"/>
    <w:rsid w:val="00657029"/>
    <w:rsid w:val="006612CA"/>
    <w:rsid w:val="00676480"/>
    <w:rsid w:val="006802E0"/>
    <w:rsid w:val="00684DAD"/>
    <w:rsid w:val="0069228F"/>
    <w:rsid w:val="0069557B"/>
    <w:rsid w:val="00696B1C"/>
    <w:rsid w:val="006A0060"/>
    <w:rsid w:val="006A4C47"/>
    <w:rsid w:val="006B6198"/>
    <w:rsid w:val="006B70C4"/>
    <w:rsid w:val="006C01CB"/>
    <w:rsid w:val="006C26DB"/>
    <w:rsid w:val="006C2A28"/>
    <w:rsid w:val="006C4FFA"/>
    <w:rsid w:val="006C7D26"/>
    <w:rsid w:val="006D15F9"/>
    <w:rsid w:val="006D1E9D"/>
    <w:rsid w:val="006D3311"/>
    <w:rsid w:val="006D5100"/>
    <w:rsid w:val="006E0CAA"/>
    <w:rsid w:val="006E2659"/>
    <w:rsid w:val="006E4BA0"/>
    <w:rsid w:val="006F1997"/>
    <w:rsid w:val="006F283F"/>
    <w:rsid w:val="006F2EF7"/>
    <w:rsid w:val="006F327F"/>
    <w:rsid w:val="006F3C00"/>
    <w:rsid w:val="006F6E29"/>
    <w:rsid w:val="006F7C04"/>
    <w:rsid w:val="007015CE"/>
    <w:rsid w:val="00702FB9"/>
    <w:rsid w:val="007039B8"/>
    <w:rsid w:val="00706965"/>
    <w:rsid w:val="00710206"/>
    <w:rsid w:val="00713A08"/>
    <w:rsid w:val="00717A1E"/>
    <w:rsid w:val="00721665"/>
    <w:rsid w:val="00734F7A"/>
    <w:rsid w:val="00735024"/>
    <w:rsid w:val="0073671C"/>
    <w:rsid w:val="007432BF"/>
    <w:rsid w:val="007436FE"/>
    <w:rsid w:val="00747900"/>
    <w:rsid w:val="007506EC"/>
    <w:rsid w:val="00752231"/>
    <w:rsid w:val="00757692"/>
    <w:rsid w:val="007621F9"/>
    <w:rsid w:val="0076375F"/>
    <w:rsid w:val="007719E9"/>
    <w:rsid w:val="00771A9E"/>
    <w:rsid w:val="00775E37"/>
    <w:rsid w:val="007803C6"/>
    <w:rsid w:val="0078111F"/>
    <w:rsid w:val="00782780"/>
    <w:rsid w:val="00787408"/>
    <w:rsid w:val="00790E37"/>
    <w:rsid w:val="00791964"/>
    <w:rsid w:val="007927E8"/>
    <w:rsid w:val="00794F3A"/>
    <w:rsid w:val="007A5D2B"/>
    <w:rsid w:val="007A6BDA"/>
    <w:rsid w:val="007B4143"/>
    <w:rsid w:val="007B5125"/>
    <w:rsid w:val="007B7608"/>
    <w:rsid w:val="007C5EBD"/>
    <w:rsid w:val="007D01ED"/>
    <w:rsid w:val="007D431B"/>
    <w:rsid w:val="007D4F16"/>
    <w:rsid w:val="007D500B"/>
    <w:rsid w:val="007D5221"/>
    <w:rsid w:val="007E1D8B"/>
    <w:rsid w:val="007E6AD6"/>
    <w:rsid w:val="007E7B6C"/>
    <w:rsid w:val="007F1735"/>
    <w:rsid w:val="007F23EC"/>
    <w:rsid w:val="007F24AD"/>
    <w:rsid w:val="007F6098"/>
    <w:rsid w:val="00803D0A"/>
    <w:rsid w:val="00805127"/>
    <w:rsid w:val="0080597F"/>
    <w:rsid w:val="008229FC"/>
    <w:rsid w:val="00823792"/>
    <w:rsid w:val="00823DC1"/>
    <w:rsid w:val="00835554"/>
    <w:rsid w:val="00836F52"/>
    <w:rsid w:val="00837310"/>
    <w:rsid w:val="008438DD"/>
    <w:rsid w:val="008462EC"/>
    <w:rsid w:val="0084750C"/>
    <w:rsid w:val="00850010"/>
    <w:rsid w:val="008542D9"/>
    <w:rsid w:val="00857CA5"/>
    <w:rsid w:val="0086057F"/>
    <w:rsid w:val="0086568D"/>
    <w:rsid w:val="0086593C"/>
    <w:rsid w:val="0088505D"/>
    <w:rsid w:val="0089039B"/>
    <w:rsid w:val="0089425E"/>
    <w:rsid w:val="00896845"/>
    <w:rsid w:val="008A4354"/>
    <w:rsid w:val="008A44B6"/>
    <w:rsid w:val="008A4922"/>
    <w:rsid w:val="008A4E68"/>
    <w:rsid w:val="008B27BE"/>
    <w:rsid w:val="008B7C74"/>
    <w:rsid w:val="008C1547"/>
    <w:rsid w:val="008C39DC"/>
    <w:rsid w:val="008D2F1C"/>
    <w:rsid w:val="008E270F"/>
    <w:rsid w:val="008E694D"/>
    <w:rsid w:val="008F24DB"/>
    <w:rsid w:val="008F549F"/>
    <w:rsid w:val="009003EA"/>
    <w:rsid w:val="00902027"/>
    <w:rsid w:val="00921EE7"/>
    <w:rsid w:val="00925921"/>
    <w:rsid w:val="00926A27"/>
    <w:rsid w:val="00930296"/>
    <w:rsid w:val="00930CF4"/>
    <w:rsid w:val="00931C89"/>
    <w:rsid w:val="00955516"/>
    <w:rsid w:val="009606AA"/>
    <w:rsid w:val="0097488A"/>
    <w:rsid w:val="00981CC0"/>
    <w:rsid w:val="00986BA1"/>
    <w:rsid w:val="00987189"/>
    <w:rsid w:val="00991CAB"/>
    <w:rsid w:val="00996ADB"/>
    <w:rsid w:val="009A2B9E"/>
    <w:rsid w:val="009A54D6"/>
    <w:rsid w:val="009B11D3"/>
    <w:rsid w:val="009B6305"/>
    <w:rsid w:val="009B6C21"/>
    <w:rsid w:val="009C1CCF"/>
    <w:rsid w:val="009F426B"/>
    <w:rsid w:val="00A046F9"/>
    <w:rsid w:val="00A05F0D"/>
    <w:rsid w:val="00A14B18"/>
    <w:rsid w:val="00A23226"/>
    <w:rsid w:val="00A24F60"/>
    <w:rsid w:val="00A33DC2"/>
    <w:rsid w:val="00A35404"/>
    <w:rsid w:val="00A373B5"/>
    <w:rsid w:val="00A42215"/>
    <w:rsid w:val="00A42B9D"/>
    <w:rsid w:val="00A42EF9"/>
    <w:rsid w:val="00A4334A"/>
    <w:rsid w:val="00A540F2"/>
    <w:rsid w:val="00A80355"/>
    <w:rsid w:val="00A82544"/>
    <w:rsid w:val="00A826C9"/>
    <w:rsid w:val="00A912F0"/>
    <w:rsid w:val="00A963CA"/>
    <w:rsid w:val="00AB27D4"/>
    <w:rsid w:val="00AC0D69"/>
    <w:rsid w:val="00AD2790"/>
    <w:rsid w:val="00AE0519"/>
    <w:rsid w:val="00AE09DD"/>
    <w:rsid w:val="00AF55EB"/>
    <w:rsid w:val="00B4209B"/>
    <w:rsid w:val="00B5153F"/>
    <w:rsid w:val="00B54770"/>
    <w:rsid w:val="00B6043B"/>
    <w:rsid w:val="00B61B9A"/>
    <w:rsid w:val="00B6558B"/>
    <w:rsid w:val="00B7102A"/>
    <w:rsid w:val="00B754E7"/>
    <w:rsid w:val="00B937A9"/>
    <w:rsid w:val="00B95CDD"/>
    <w:rsid w:val="00B97EFB"/>
    <w:rsid w:val="00BA6B05"/>
    <w:rsid w:val="00BA728D"/>
    <w:rsid w:val="00BA77B8"/>
    <w:rsid w:val="00BB07AD"/>
    <w:rsid w:val="00BB0CBD"/>
    <w:rsid w:val="00BB4B80"/>
    <w:rsid w:val="00BC2F52"/>
    <w:rsid w:val="00BC6064"/>
    <w:rsid w:val="00BD30DB"/>
    <w:rsid w:val="00BD39EB"/>
    <w:rsid w:val="00BD6E0B"/>
    <w:rsid w:val="00BD7F1E"/>
    <w:rsid w:val="00BE0432"/>
    <w:rsid w:val="00BE0E67"/>
    <w:rsid w:val="00BE5F2E"/>
    <w:rsid w:val="00BF106D"/>
    <w:rsid w:val="00BF1545"/>
    <w:rsid w:val="00BF19C6"/>
    <w:rsid w:val="00BF3853"/>
    <w:rsid w:val="00BF5D87"/>
    <w:rsid w:val="00C00691"/>
    <w:rsid w:val="00C01A8F"/>
    <w:rsid w:val="00C075B0"/>
    <w:rsid w:val="00C11F93"/>
    <w:rsid w:val="00C172BF"/>
    <w:rsid w:val="00C237D0"/>
    <w:rsid w:val="00C249F7"/>
    <w:rsid w:val="00C30881"/>
    <w:rsid w:val="00C37546"/>
    <w:rsid w:val="00C404CA"/>
    <w:rsid w:val="00C40D16"/>
    <w:rsid w:val="00C504FE"/>
    <w:rsid w:val="00C53C76"/>
    <w:rsid w:val="00C55B28"/>
    <w:rsid w:val="00C6265B"/>
    <w:rsid w:val="00C73A2D"/>
    <w:rsid w:val="00C7593A"/>
    <w:rsid w:val="00C8532B"/>
    <w:rsid w:val="00C85F18"/>
    <w:rsid w:val="00C9011E"/>
    <w:rsid w:val="00C96D3C"/>
    <w:rsid w:val="00CA14A1"/>
    <w:rsid w:val="00CB471C"/>
    <w:rsid w:val="00CC731B"/>
    <w:rsid w:val="00CD1147"/>
    <w:rsid w:val="00CD2366"/>
    <w:rsid w:val="00CD7080"/>
    <w:rsid w:val="00CD7189"/>
    <w:rsid w:val="00CE2032"/>
    <w:rsid w:val="00CF52D8"/>
    <w:rsid w:val="00D11B6E"/>
    <w:rsid w:val="00D129F5"/>
    <w:rsid w:val="00D21F52"/>
    <w:rsid w:val="00D34057"/>
    <w:rsid w:val="00D3534F"/>
    <w:rsid w:val="00D4073F"/>
    <w:rsid w:val="00D54C53"/>
    <w:rsid w:val="00D57AE8"/>
    <w:rsid w:val="00D57F04"/>
    <w:rsid w:val="00D8530F"/>
    <w:rsid w:val="00D90033"/>
    <w:rsid w:val="00D9089E"/>
    <w:rsid w:val="00D94AA8"/>
    <w:rsid w:val="00DA0BB8"/>
    <w:rsid w:val="00DA3539"/>
    <w:rsid w:val="00DA4CFE"/>
    <w:rsid w:val="00DB160E"/>
    <w:rsid w:val="00DB24A0"/>
    <w:rsid w:val="00DC0E64"/>
    <w:rsid w:val="00DC3BA1"/>
    <w:rsid w:val="00DC6369"/>
    <w:rsid w:val="00DC6F45"/>
    <w:rsid w:val="00DD677D"/>
    <w:rsid w:val="00DE4792"/>
    <w:rsid w:val="00DE4A8A"/>
    <w:rsid w:val="00DE4C73"/>
    <w:rsid w:val="00DF160E"/>
    <w:rsid w:val="00DF1F30"/>
    <w:rsid w:val="00E00330"/>
    <w:rsid w:val="00E0213F"/>
    <w:rsid w:val="00E04993"/>
    <w:rsid w:val="00E12893"/>
    <w:rsid w:val="00E13402"/>
    <w:rsid w:val="00E15D40"/>
    <w:rsid w:val="00E226FB"/>
    <w:rsid w:val="00E27494"/>
    <w:rsid w:val="00E37611"/>
    <w:rsid w:val="00E42455"/>
    <w:rsid w:val="00E4527E"/>
    <w:rsid w:val="00E45E4C"/>
    <w:rsid w:val="00E46252"/>
    <w:rsid w:val="00E51E6C"/>
    <w:rsid w:val="00E53D4B"/>
    <w:rsid w:val="00E64E13"/>
    <w:rsid w:val="00E70CA9"/>
    <w:rsid w:val="00E727B8"/>
    <w:rsid w:val="00E74D98"/>
    <w:rsid w:val="00E75D92"/>
    <w:rsid w:val="00E76F63"/>
    <w:rsid w:val="00E81E83"/>
    <w:rsid w:val="00E84739"/>
    <w:rsid w:val="00E97C14"/>
    <w:rsid w:val="00EA269A"/>
    <w:rsid w:val="00EB29C4"/>
    <w:rsid w:val="00EC2A39"/>
    <w:rsid w:val="00ED590A"/>
    <w:rsid w:val="00ED69A7"/>
    <w:rsid w:val="00EE0FF2"/>
    <w:rsid w:val="00EE47CC"/>
    <w:rsid w:val="00EE491C"/>
    <w:rsid w:val="00EE7531"/>
    <w:rsid w:val="00F14FD0"/>
    <w:rsid w:val="00F30684"/>
    <w:rsid w:val="00F31008"/>
    <w:rsid w:val="00F371B8"/>
    <w:rsid w:val="00F45CAE"/>
    <w:rsid w:val="00F463AC"/>
    <w:rsid w:val="00F46A50"/>
    <w:rsid w:val="00F476EE"/>
    <w:rsid w:val="00F51AAD"/>
    <w:rsid w:val="00F546FB"/>
    <w:rsid w:val="00F63DFF"/>
    <w:rsid w:val="00F64719"/>
    <w:rsid w:val="00F72ED7"/>
    <w:rsid w:val="00F748BB"/>
    <w:rsid w:val="00F74CD5"/>
    <w:rsid w:val="00F874BB"/>
    <w:rsid w:val="00F91FAB"/>
    <w:rsid w:val="00F977B4"/>
    <w:rsid w:val="00FA6C7A"/>
    <w:rsid w:val="00FB3153"/>
    <w:rsid w:val="00FB51BC"/>
    <w:rsid w:val="00FC519C"/>
    <w:rsid w:val="00FC62F1"/>
    <w:rsid w:val="00FD2A08"/>
    <w:rsid w:val="00FD40E2"/>
    <w:rsid w:val="00FD6EC2"/>
    <w:rsid w:val="00FD706B"/>
    <w:rsid w:val="00FE07EA"/>
    <w:rsid w:val="00FE0AFF"/>
    <w:rsid w:val="00FE2E48"/>
    <w:rsid w:val="00FE3AD2"/>
    <w:rsid w:val="00FF3025"/>
    <w:rsid w:val="00FF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44A4"/>
  <w15:docId w15:val="{83121AB3-84D9-407A-A7A6-001B891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98"/>
    <w:pPr>
      <w:spacing w:before="120" w:after="0" w:line="240" w:lineRule="auto"/>
    </w:pPr>
    <w:rPr>
      <w:rFonts w:ascii="Arial" w:eastAsiaTheme="minorEastAsia" w:hAnsi="Arial" w:cs="Times New Roman"/>
      <w:sz w:val="24"/>
    </w:rPr>
  </w:style>
  <w:style w:type="paragraph" w:styleId="Heading1">
    <w:name w:val="heading 1"/>
    <w:next w:val="Normal"/>
    <w:link w:val="Heading1Char"/>
    <w:uiPriority w:val="9"/>
    <w:qFormat/>
    <w:rsid w:val="007F6098"/>
    <w:pPr>
      <w:keepNext/>
      <w:keepLines/>
      <w:spacing w:after="0" w:line="240" w:lineRule="auto"/>
      <w:contextualSpacing/>
      <w:outlineLvl w:val="0"/>
    </w:pPr>
    <w:rPr>
      <w:rFonts w:asciiTheme="majorHAnsi" w:eastAsiaTheme="majorEastAsia" w:hAnsiTheme="majorHAnsi" w:cstheme="majorBidi"/>
      <w:color w:val="000000" w:themeColor="text1"/>
      <w:spacing w:val="10"/>
      <w:sz w:val="32"/>
      <w:szCs w:val="32"/>
    </w:rPr>
  </w:style>
  <w:style w:type="paragraph" w:styleId="Heading2">
    <w:name w:val="heading 2"/>
    <w:basedOn w:val="Heading1"/>
    <w:next w:val="Normal"/>
    <w:link w:val="Heading2Char"/>
    <w:uiPriority w:val="9"/>
    <w:unhideWhenUsed/>
    <w:qFormat/>
    <w:rsid w:val="007F6098"/>
    <w:pPr>
      <w:pBdr>
        <w:bottom w:val="single" w:sz="4" w:space="3" w:color="7F7F7F" w:themeColor="text1" w:themeTint="80"/>
      </w:pBdr>
      <w:spacing w:before="220"/>
      <w:outlineLvl w:val="1"/>
    </w:pPr>
    <w:rPr>
      <w:rFonts w:ascii="Arial" w:hAnsi="Arial"/>
      <w:color w:val="0072C6"/>
    </w:rPr>
  </w:style>
  <w:style w:type="paragraph" w:styleId="Heading3">
    <w:name w:val="heading 3"/>
    <w:basedOn w:val="Heading1"/>
    <w:next w:val="Normal"/>
    <w:link w:val="Heading3Char"/>
    <w:uiPriority w:val="9"/>
    <w:unhideWhenUsed/>
    <w:qFormat/>
    <w:rsid w:val="007F6098"/>
    <w:pPr>
      <w:spacing w:before="220"/>
      <w:outlineLvl w:val="2"/>
    </w:pPr>
    <w:rPr>
      <w:rFonts w:ascii="Arial" w:hAnsi="Arial"/>
      <w:bCs/>
      <w:color w:val="0072C6"/>
      <w:sz w:val="28"/>
    </w:rPr>
  </w:style>
  <w:style w:type="paragraph" w:styleId="Heading4">
    <w:name w:val="heading 4"/>
    <w:next w:val="Normal"/>
    <w:link w:val="Heading4Char"/>
    <w:uiPriority w:val="9"/>
    <w:semiHidden/>
    <w:unhideWhenUsed/>
    <w:qFormat/>
    <w:rsid w:val="007F6098"/>
    <w:pPr>
      <w:keepNext/>
      <w:keepLines/>
      <w:spacing w:after="0" w:line="240" w:lineRule="auto"/>
      <w:outlineLvl w:val="3"/>
    </w:pPr>
    <w:rPr>
      <w:rFonts w:ascii="Verdana" w:eastAsiaTheme="majorEastAsia" w:hAnsi="Verdana" w:cstheme="majorBidi"/>
      <w:caps/>
      <w:color w:val="000000" w:themeColor="text1"/>
      <w:spacing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98"/>
    <w:rPr>
      <w:rFonts w:asciiTheme="majorHAnsi" w:eastAsiaTheme="majorEastAsia" w:hAnsiTheme="majorHAnsi" w:cstheme="majorBidi"/>
      <w:color w:val="000000" w:themeColor="text1"/>
      <w:spacing w:val="10"/>
      <w:sz w:val="32"/>
      <w:szCs w:val="32"/>
    </w:rPr>
  </w:style>
  <w:style w:type="character" w:customStyle="1" w:styleId="Heading2Char">
    <w:name w:val="Heading 2 Char"/>
    <w:basedOn w:val="DefaultParagraphFont"/>
    <w:link w:val="Heading2"/>
    <w:uiPriority w:val="9"/>
    <w:rsid w:val="007F6098"/>
    <w:rPr>
      <w:rFonts w:ascii="Arial" w:eastAsiaTheme="majorEastAsia" w:hAnsi="Arial" w:cstheme="majorBidi"/>
      <w:color w:val="0072C6"/>
      <w:spacing w:val="10"/>
      <w:sz w:val="32"/>
      <w:szCs w:val="32"/>
    </w:rPr>
  </w:style>
  <w:style w:type="character" w:customStyle="1" w:styleId="Heading3Char">
    <w:name w:val="Heading 3 Char"/>
    <w:basedOn w:val="DefaultParagraphFont"/>
    <w:link w:val="Heading3"/>
    <w:uiPriority w:val="9"/>
    <w:rsid w:val="007F6098"/>
    <w:rPr>
      <w:rFonts w:ascii="Arial" w:eastAsiaTheme="majorEastAsia" w:hAnsi="Arial" w:cstheme="majorBidi"/>
      <w:bCs/>
      <w:color w:val="0072C6"/>
      <w:spacing w:val="10"/>
      <w:sz w:val="28"/>
      <w:szCs w:val="32"/>
    </w:rPr>
  </w:style>
  <w:style w:type="character" w:customStyle="1" w:styleId="Heading4Char">
    <w:name w:val="Heading 4 Char"/>
    <w:basedOn w:val="DefaultParagraphFont"/>
    <w:link w:val="Heading4"/>
    <w:uiPriority w:val="9"/>
    <w:semiHidden/>
    <w:rsid w:val="007F6098"/>
    <w:rPr>
      <w:rFonts w:ascii="Verdana" w:eastAsiaTheme="majorEastAsia" w:hAnsi="Verdana" w:cstheme="majorBidi"/>
      <w:caps/>
      <w:color w:val="000000" w:themeColor="text1"/>
      <w:spacing w:val="40"/>
      <w:szCs w:val="20"/>
    </w:rPr>
  </w:style>
  <w:style w:type="character" w:styleId="Hyperlink">
    <w:name w:val="Hyperlink"/>
    <w:basedOn w:val="DefaultParagraphFont"/>
    <w:uiPriority w:val="99"/>
    <w:semiHidden/>
    <w:unhideWhenUsed/>
    <w:rsid w:val="007F6098"/>
    <w:rPr>
      <w:color w:val="0000FF" w:themeColor="hyperlink"/>
      <w:u w:val="single"/>
    </w:rPr>
  </w:style>
  <w:style w:type="character" w:styleId="Emphasis">
    <w:name w:val="Emphasis"/>
    <w:aliases w:val="Highlight"/>
    <w:basedOn w:val="DefaultParagraphFont"/>
    <w:uiPriority w:val="20"/>
    <w:qFormat/>
    <w:rsid w:val="007F6098"/>
    <w:rPr>
      <w:rFonts w:ascii="Arial" w:hAnsi="Arial" w:cs="Arial" w:hint="default"/>
      <w:b w:val="0"/>
      <w:bCs w:val="0"/>
      <w:color w:val="0072C6"/>
      <w:sz w:val="24"/>
    </w:rPr>
  </w:style>
  <w:style w:type="character" w:styleId="Strong">
    <w:name w:val="Strong"/>
    <w:basedOn w:val="DefaultParagraphFont"/>
    <w:uiPriority w:val="22"/>
    <w:qFormat/>
    <w:rsid w:val="007F6098"/>
    <w:rPr>
      <w:b w:val="0"/>
      <w:bCs w:val="0"/>
      <w:color w:val="4F81BD" w:themeColor="accent1"/>
    </w:rPr>
  </w:style>
  <w:style w:type="paragraph" w:styleId="TOC1">
    <w:name w:val="toc 1"/>
    <w:basedOn w:val="Normal"/>
    <w:next w:val="Normal"/>
    <w:autoRedefine/>
    <w:uiPriority w:val="39"/>
    <w:semiHidden/>
    <w:unhideWhenUsed/>
    <w:rsid w:val="007F6098"/>
    <w:rPr>
      <w:b/>
    </w:rPr>
  </w:style>
  <w:style w:type="paragraph" w:styleId="TOC4">
    <w:name w:val="toc 4"/>
    <w:basedOn w:val="Normal"/>
    <w:next w:val="Normal"/>
    <w:autoRedefine/>
    <w:uiPriority w:val="39"/>
    <w:semiHidden/>
    <w:unhideWhenUsed/>
    <w:rsid w:val="007F6098"/>
    <w:pPr>
      <w:spacing w:before="0"/>
      <w:ind w:left="660"/>
    </w:pPr>
    <w:rPr>
      <w:sz w:val="20"/>
      <w:szCs w:val="20"/>
    </w:rPr>
  </w:style>
  <w:style w:type="paragraph" w:styleId="FootnoteText">
    <w:name w:val="footnote text"/>
    <w:basedOn w:val="Normal"/>
    <w:link w:val="FootnoteTextChar"/>
    <w:uiPriority w:val="99"/>
    <w:semiHidden/>
    <w:unhideWhenUsed/>
    <w:rsid w:val="007F6098"/>
    <w:pPr>
      <w:spacing w:before="0"/>
    </w:pPr>
    <w:rPr>
      <w:i/>
      <w:color w:val="7F7F7F" w:themeColor="text1" w:themeTint="80"/>
      <w:sz w:val="20"/>
      <w:szCs w:val="24"/>
    </w:rPr>
  </w:style>
  <w:style w:type="character" w:customStyle="1" w:styleId="FootnoteTextChar">
    <w:name w:val="Footnote Text Char"/>
    <w:basedOn w:val="DefaultParagraphFont"/>
    <w:link w:val="FootnoteText"/>
    <w:uiPriority w:val="99"/>
    <w:semiHidden/>
    <w:rsid w:val="007F6098"/>
    <w:rPr>
      <w:rFonts w:ascii="Arial" w:eastAsiaTheme="minorEastAsia" w:hAnsi="Arial" w:cs="Times New Roman"/>
      <w:i/>
      <w:color w:val="7F7F7F" w:themeColor="text1" w:themeTint="80"/>
      <w:sz w:val="20"/>
      <w:szCs w:val="24"/>
    </w:rPr>
  </w:style>
  <w:style w:type="character" w:customStyle="1" w:styleId="CommentTextChar">
    <w:name w:val="Comment Text Char"/>
    <w:basedOn w:val="DefaultParagraphFont"/>
    <w:link w:val="CommentText"/>
    <w:uiPriority w:val="99"/>
    <w:rsid w:val="007F6098"/>
    <w:rPr>
      <w:rFonts w:ascii="Arial" w:eastAsiaTheme="minorEastAsia" w:hAnsi="Arial" w:cs="Times New Roman"/>
      <w:sz w:val="20"/>
      <w:szCs w:val="20"/>
    </w:rPr>
  </w:style>
  <w:style w:type="paragraph" w:styleId="CommentText">
    <w:name w:val="annotation text"/>
    <w:basedOn w:val="Normal"/>
    <w:link w:val="CommentTextChar"/>
    <w:uiPriority w:val="99"/>
    <w:unhideWhenUsed/>
    <w:rsid w:val="007F6098"/>
    <w:rPr>
      <w:sz w:val="20"/>
      <w:szCs w:val="20"/>
    </w:rPr>
  </w:style>
  <w:style w:type="paragraph" w:styleId="Header">
    <w:name w:val="header"/>
    <w:basedOn w:val="Normal"/>
    <w:link w:val="HeaderChar"/>
    <w:uiPriority w:val="99"/>
    <w:unhideWhenUsed/>
    <w:rsid w:val="007F6098"/>
    <w:pPr>
      <w:tabs>
        <w:tab w:val="center" w:pos="4320"/>
        <w:tab w:val="right" w:pos="8640"/>
      </w:tabs>
    </w:pPr>
  </w:style>
  <w:style w:type="character" w:customStyle="1" w:styleId="HeaderChar">
    <w:name w:val="Header Char"/>
    <w:basedOn w:val="DefaultParagraphFont"/>
    <w:link w:val="Header"/>
    <w:uiPriority w:val="99"/>
    <w:rsid w:val="007F6098"/>
    <w:rPr>
      <w:rFonts w:ascii="Arial" w:eastAsiaTheme="minorEastAsia" w:hAnsi="Arial" w:cs="Times New Roman"/>
      <w:sz w:val="24"/>
    </w:rPr>
  </w:style>
  <w:style w:type="paragraph" w:styleId="Footer">
    <w:name w:val="footer"/>
    <w:basedOn w:val="Normal"/>
    <w:link w:val="FooterChar"/>
    <w:uiPriority w:val="99"/>
    <w:unhideWhenUsed/>
    <w:rsid w:val="007F6098"/>
    <w:pPr>
      <w:tabs>
        <w:tab w:val="center" w:pos="4320"/>
        <w:tab w:val="right" w:pos="8640"/>
      </w:tabs>
    </w:pPr>
  </w:style>
  <w:style w:type="character" w:customStyle="1" w:styleId="FooterChar">
    <w:name w:val="Footer Char"/>
    <w:basedOn w:val="DefaultParagraphFont"/>
    <w:link w:val="Footer"/>
    <w:uiPriority w:val="99"/>
    <w:rsid w:val="007F6098"/>
    <w:rPr>
      <w:rFonts w:ascii="Arial" w:eastAsiaTheme="minorEastAsia" w:hAnsi="Arial" w:cs="Times New Roman"/>
      <w:sz w:val="24"/>
    </w:rPr>
  </w:style>
  <w:style w:type="character" w:customStyle="1" w:styleId="EndnoteTextChar">
    <w:name w:val="Endnote Text Char"/>
    <w:basedOn w:val="DefaultParagraphFont"/>
    <w:link w:val="EndnoteText"/>
    <w:uiPriority w:val="99"/>
    <w:semiHidden/>
    <w:rsid w:val="007F6098"/>
    <w:rPr>
      <w:rFonts w:ascii="Arial" w:eastAsiaTheme="minorEastAsia" w:hAnsi="Arial" w:cs="Times New Roman"/>
      <w:sz w:val="20"/>
      <w:szCs w:val="20"/>
    </w:rPr>
  </w:style>
  <w:style w:type="paragraph" w:styleId="EndnoteText">
    <w:name w:val="endnote text"/>
    <w:basedOn w:val="Normal"/>
    <w:link w:val="EndnoteTextChar"/>
    <w:uiPriority w:val="99"/>
    <w:semiHidden/>
    <w:unhideWhenUsed/>
    <w:rsid w:val="007F6098"/>
    <w:pPr>
      <w:spacing w:before="0"/>
    </w:pPr>
    <w:rPr>
      <w:sz w:val="20"/>
      <w:szCs w:val="20"/>
    </w:rPr>
  </w:style>
  <w:style w:type="character" w:customStyle="1" w:styleId="CommentSubjectChar">
    <w:name w:val="Comment Subject Char"/>
    <w:basedOn w:val="CommentTextChar"/>
    <w:link w:val="CommentSubject"/>
    <w:uiPriority w:val="99"/>
    <w:semiHidden/>
    <w:rsid w:val="007F6098"/>
    <w:rPr>
      <w:rFonts w:ascii="Arial" w:eastAsiaTheme="minorEastAsia"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7F6098"/>
    <w:rPr>
      <w:b/>
      <w:bCs/>
    </w:rPr>
  </w:style>
  <w:style w:type="character" w:customStyle="1" w:styleId="BalloonTextChar">
    <w:name w:val="Balloon Text Char"/>
    <w:basedOn w:val="DefaultParagraphFont"/>
    <w:link w:val="BalloonText"/>
    <w:uiPriority w:val="99"/>
    <w:semiHidden/>
    <w:rsid w:val="007F6098"/>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7F6098"/>
    <w:rPr>
      <w:rFonts w:ascii="Lucida Grande" w:hAnsi="Lucida Grande" w:cs="Lucida Grande"/>
      <w:sz w:val="18"/>
      <w:szCs w:val="18"/>
    </w:r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7F6098"/>
    <w:pPr>
      <w:spacing w:after="140"/>
      <w:contextualSpacing/>
    </w:pPr>
  </w:style>
  <w:style w:type="paragraph" w:styleId="Quote">
    <w:name w:val="Quote"/>
    <w:basedOn w:val="Normal"/>
    <w:next w:val="Normal"/>
    <w:link w:val="QuoteChar"/>
    <w:uiPriority w:val="29"/>
    <w:qFormat/>
    <w:rsid w:val="007F6098"/>
    <w:rPr>
      <w:i/>
      <w:iCs/>
      <w:color w:val="000000" w:themeColor="text1"/>
    </w:rPr>
  </w:style>
  <w:style w:type="character" w:customStyle="1" w:styleId="QuoteChar">
    <w:name w:val="Quote Char"/>
    <w:basedOn w:val="DefaultParagraphFont"/>
    <w:link w:val="Quote"/>
    <w:uiPriority w:val="29"/>
    <w:rsid w:val="007F6098"/>
    <w:rPr>
      <w:rFonts w:ascii="Arial" w:eastAsiaTheme="minorEastAsia" w:hAnsi="Arial" w:cs="Times New Roman"/>
      <w:i/>
      <w:iCs/>
      <w:color w:val="000000" w:themeColor="text1"/>
      <w:sz w:val="24"/>
    </w:rPr>
  </w:style>
  <w:style w:type="paragraph" w:customStyle="1" w:styleId="TableNormalPara">
    <w:name w:val="Table Normal Para"/>
    <w:basedOn w:val="Normal"/>
    <w:uiPriority w:val="99"/>
    <w:rsid w:val="007F6098"/>
  </w:style>
  <w:style w:type="paragraph" w:customStyle="1" w:styleId="HeaderFooterA4VMaster">
    <w:name w:val="Header/Footer (A4 V:Master)"/>
    <w:basedOn w:val="Normal"/>
    <w:uiPriority w:val="99"/>
    <w:rsid w:val="007F6098"/>
    <w:pPr>
      <w:widowControl w:val="0"/>
      <w:suppressAutoHyphens/>
      <w:autoSpaceDE w:val="0"/>
      <w:autoSpaceDN w:val="0"/>
      <w:adjustRightInd w:val="0"/>
      <w:spacing w:line="288" w:lineRule="auto"/>
    </w:pPr>
    <w:rPr>
      <w:rFonts w:ascii="Georgia-Italic" w:hAnsi="Georgia-Italic" w:cs="Georgia-Italic"/>
      <w:i/>
      <w:iCs/>
      <w:color w:val="000000"/>
      <w:sz w:val="14"/>
      <w:szCs w:val="14"/>
    </w:rPr>
  </w:style>
  <w:style w:type="paragraph" w:customStyle="1" w:styleId="Headerfooter">
    <w:name w:val="Header/footer"/>
    <w:basedOn w:val="Footer"/>
    <w:qFormat/>
    <w:rsid w:val="007F6098"/>
    <w:pPr>
      <w:spacing w:before="0"/>
    </w:pPr>
    <w:rPr>
      <w:color w:val="595959" w:themeColor="text1" w:themeTint="A6"/>
      <w:sz w:val="20"/>
      <w:szCs w:val="14"/>
    </w:rPr>
  </w:style>
  <w:style w:type="character" w:customStyle="1" w:styleId="BITable">
    <w:name w:val="BI Table"/>
    <w:basedOn w:val="DefaultParagraphFont"/>
    <w:rsid w:val="007F6098"/>
  </w:style>
  <w:style w:type="paragraph" w:customStyle="1" w:styleId="BITablePara">
    <w:name w:val="BI Table Para"/>
    <w:basedOn w:val="TableNormalPara"/>
    <w:link w:val="BITable2"/>
    <w:uiPriority w:val="99"/>
    <w:rsid w:val="007F6098"/>
    <w:pPr>
      <w:spacing w:before="0"/>
    </w:pPr>
    <w:rPr>
      <w:sz w:val="20"/>
    </w:rPr>
  </w:style>
  <w:style w:type="table" w:customStyle="1" w:styleId="BITable2">
    <w:name w:val="BI Table2"/>
    <w:basedOn w:val="TableNormal"/>
    <w:link w:val="BITablePara"/>
    <w:uiPriority w:val="99"/>
    <w:rsid w:val="007F6098"/>
    <w:pPr>
      <w:spacing w:after="0" w:line="240" w:lineRule="auto"/>
    </w:pPr>
    <w:rPr>
      <w:rFonts w:ascii="Times New Roman" w:eastAsiaTheme="minorEastAsia" w:hAnsi="Times New Roman" w:cs="Times New Roman"/>
      <w:sz w:val="20"/>
      <w:szCs w:val="20"/>
    </w:rPr>
    <w:tblPr/>
    <w:tblStylePr w:type="firstRow">
      <w:pPr>
        <w:jc w:val="left"/>
      </w:pPr>
      <w:rPr>
        <w:rFonts w:ascii="@BatangChe" w:eastAsia="@BatangChe" w:hAnsi="@BatangChe" w:hint="eastAsia"/>
        <w:b w:val="0"/>
        <w:i w:val="0"/>
        <w:color w:val="FFFFFF" w:themeColor="background1"/>
      </w:rPr>
      <w:tblPr/>
      <w:tcPr>
        <w:shd w:val="clear" w:color="auto" w:fill="4F81BD" w:themeFill="accent1"/>
      </w:tcPr>
    </w:tblStylePr>
  </w:style>
  <w:style w:type="paragraph" w:customStyle="1" w:styleId="Hiddenprompt">
    <w:name w:val="Hidden prompt"/>
    <w:basedOn w:val="Normal"/>
    <w:qFormat/>
    <w:rsid w:val="007F6098"/>
    <w:rPr>
      <w:rFonts w:ascii="Georgia" w:hAnsi="Georgia"/>
      <w:i/>
      <w:iCs/>
      <w:color w:val="7F7F7F" w:themeColor="text1" w:themeTint="80"/>
      <w:szCs w:val="28"/>
    </w:rPr>
  </w:style>
  <w:style w:type="paragraph" w:customStyle="1" w:styleId="GaramondLeftHeading">
    <w:name w:val="Garamond Left Heading"/>
    <w:basedOn w:val="Footer"/>
    <w:rsid w:val="007F6098"/>
    <w:pPr>
      <w:spacing w:before="0" w:after="120"/>
      <w:jc w:val="both"/>
    </w:pPr>
    <w:rPr>
      <w:rFonts w:ascii="Garamond" w:hAnsi="Garamond"/>
      <w:sz w:val="26"/>
      <w:szCs w:val="14"/>
    </w:rPr>
  </w:style>
  <w:style w:type="paragraph" w:customStyle="1" w:styleId="Table-text">
    <w:name w:val="Table - text"/>
    <w:basedOn w:val="Normal"/>
    <w:qFormat/>
    <w:rsid w:val="007F6098"/>
    <w:pPr>
      <w:spacing w:before="20" w:after="20"/>
    </w:pPr>
    <w:rPr>
      <w:sz w:val="20"/>
    </w:rPr>
  </w:style>
  <w:style w:type="paragraph" w:customStyle="1" w:styleId="Tableheading">
    <w:name w:val="Table heading"/>
    <w:basedOn w:val="Table-text"/>
    <w:qFormat/>
    <w:rsid w:val="007F6098"/>
    <w:pPr>
      <w:spacing w:before="40" w:after="40"/>
    </w:pPr>
    <w:rPr>
      <w:color w:val="FFFFFF" w:themeColor="background1"/>
      <w:sz w:val="24"/>
    </w:rPr>
  </w:style>
  <w:style w:type="paragraph" w:customStyle="1" w:styleId="Warning">
    <w:name w:val="Warning"/>
    <w:basedOn w:val="Normal"/>
    <w:qFormat/>
    <w:rsid w:val="007F6098"/>
    <w:pPr>
      <w:shd w:val="clear" w:color="auto" w:fill="FF0000"/>
      <w:jc w:val="center"/>
    </w:pPr>
    <w:rPr>
      <w:rFonts w:cs="Arial"/>
      <w:b/>
      <w:iCs/>
      <w:color w:val="FFC000"/>
      <w:szCs w:val="28"/>
    </w:rPr>
  </w:style>
  <w:style w:type="paragraph" w:customStyle="1" w:styleId="Default">
    <w:name w:val="Default"/>
    <w:rsid w:val="007F6098"/>
    <w:pPr>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Paragraph">
    <w:name w:val="Table Paragraph"/>
    <w:basedOn w:val="Normal"/>
    <w:uiPriority w:val="1"/>
    <w:qFormat/>
    <w:rsid w:val="007F6098"/>
    <w:pPr>
      <w:widowControl w:val="0"/>
      <w:spacing w:before="0"/>
    </w:pPr>
    <w:rPr>
      <w:rFonts w:asciiTheme="minorHAnsi" w:eastAsiaTheme="minorHAnsi" w:hAnsiTheme="minorHAnsi" w:cstheme="minorBidi"/>
      <w:sz w:val="22"/>
      <w:lang w:val="en-US"/>
    </w:rPr>
  </w:style>
  <w:style w:type="paragraph" w:customStyle="1" w:styleId="tableparagraph0">
    <w:name w:val="tableparagraph"/>
    <w:basedOn w:val="Normal"/>
    <w:rsid w:val="007F6098"/>
    <w:pPr>
      <w:spacing w:before="0"/>
    </w:pPr>
    <w:rPr>
      <w:rFonts w:ascii="Calibri" w:eastAsiaTheme="minorHAnsi" w:hAnsi="Calibri"/>
      <w:sz w:val="22"/>
      <w:lang w:eastAsia="en-GB"/>
    </w:rPr>
  </w:style>
  <w:style w:type="table" w:styleId="TableGrid">
    <w:name w:val="Table Grid"/>
    <w:basedOn w:val="TableNormal"/>
    <w:uiPriority w:val="59"/>
    <w:rsid w:val="007F609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unhideWhenUsed/>
    <w:rsid w:val="006E0CAA"/>
    <w:pPr>
      <w:spacing w:after="100"/>
      <w:ind w:left="960"/>
    </w:p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basedOn w:val="DefaultParagraphFont"/>
    <w:link w:val="ListParagraph"/>
    <w:uiPriority w:val="34"/>
    <w:qFormat/>
    <w:rsid w:val="00C9011E"/>
    <w:rPr>
      <w:rFonts w:ascii="Arial" w:eastAsiaTheme="minorEastAsia" w:hAnsi="Arial" w:cs="Times New Roman"/>
      <w:sz w:val="24"/>
    </w:rPr>
  </w:style>
  <w:style w:type="paragraph" w:customStyle="1" w:styleId="FirstHeading">
    <w:name w:val="First Heading"/>
    <w:basedOn w:val="ListParagraph"/>
    <w:link w:val="FirstHeadingChar"/>
    <w:autoRedefine/>
    <w:qFormat/>
    <w:rsid w:val="00996ADB"/>
    <w:pPr>
      <w:spacing w:before="0" w:after="0"/>
      <w:ind w:left="720" w:hanging="720"/>
    </w:pPr>
    <w:rPr>
      <w:rFonts w:cs="Arial"/>
      <w:b/>
      <w:sz w:val="28"/>
      <w:szCs w:val="28"/>
    </w:rPr>
  </w:style>
  <w:style w:type="character" w:customStyle="1" w:styleId="FirstHeadingChar">
    <w:name w:val="First Heading Char"/>
    <w:basedOn w:val="ListParagraphChar"/>
    <w:link w:val="FirstHeading"/>
    <w:rsid w:val="00996ADB"/>
    <w:rPr>
      <w:rFonts w:ascii="Arial" w:eastAsiaTheme="minorEastAsia" w:hAnsi="Arial" w:cs="Arial"/>
      <w:b/>
      <w:sz w:val="28"/>
      <w:szCs w:val="28"/>
    </w:rPr>
  </w:style>
  <w:style w:type="character" w:styleId="CommentReference">
    <w:name w:val="annotation reference"/>
    <w:basedOn w:val="DefaultParagraphFont"/>
    <w:uiPriority w:val="99"/>
    <w:semiHidden/>
    <w:unhideWhenUsed/>
    <w:rsid w:val="00243CA0"/>
    <w:rPr>
      <w:sz w:val="16"/>
      <w:szCs w:val="16"/>
    </w:rPr>
  </w:style>
  <w:style w:type="table" w:customStyle="1" w:styleId="TableGrid1">
    <w:name w:val="Table Grid1"/>
    <w:basedOn w:val="TableNormal"/>
    <w:next w:val="TableGrid"/>
    <w:uiPriority w:val="59"/>
    <w:rsid w:val="000B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1816"/>
    <w:pPr>
      <w:widowControl w:val="0"/>
      <w:autoSpaceDE w:val="0"/>
      <w:autoSpaceDN w:val="0"/>
      <w:spacing w:before="0"/>
    </w:pPr>
    <w:rPr>
      <w:rFonts w:eastAsia="Arial" w:cs="Arial"/>
      <w:sz w:val="22"/>
      <w:lang w:val="en-US"/>
    </w:rPr>
  </w:style>
  <w:style w:type="character" w:customStyle="1" w:styleId="BodyTextChar">
    <w:name w:val="Body Text Char"/>
    <w:basedOn w:val="DefaultParagraphFont"/>
    <w:link w:val="BodyText"/>
    <w:uiPriority w:val="1"/>
    <w:rsid w:val="000B18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9884">
      <w:bodyDiv w:val="1"/>
      <w:marLeft w:val="0"/>
      <w:marRight w:val="0"/>
      <w:marTop w:val="0"/>
      <w:marBottom w:val="0"/>
      <w:divBdr>
        <w:top w:val="none" w:sz="0" w:space="0" w:color="auto"/>
        <w:left w:val="none" w:sz="0" w:space="0" w:color="auto"/>
        <w:bottom w:val="none" w:sz="0" w:space="0" w:color="auto"/>
        <w:right w:val="none" w:sz="0" w:space="0" w:color="auto"/>
      </w:divBdr>
    </w:div>
    <w:div w:id="444346228">
      <w:bodyDiv w:val="1"/>
      <w:marLeft w:val="0"/>
      <w:marRight w:val="0"/>
      <w:marTop w:val="0"/>
      <w:marBottom w:val="0"/>
      <w:divBdr>
        <w:top w:val="none" w:sz="0" w:space="0" w:color="auto"/>
        <w:left w:val="none" w:sz="0" w:space="0" w:color="auto"/>
        <w:bottom w:val="none" w:sz="0" w:space="0" w:color="auto"/>
        <w:right w:val="none" w:sz="0" w:space="0" w:color="auto"/>
      </w:divBdr>
    </w:div>
    <w:div w:id="470908121">
      <w:bodyDiv w:val="1"/>
      <w:marLeft w:val="0"/>
      <w:marRight w:val="0"/>
      <w:marTop w:val="0"/>
      <w:marBottom w:val="0"/>
      <w:divBdr>
        <w:top w:val="none" w:sz="0" w:space="0" w:color="auto"/>
        <w:left w:val="none" w:sz="0" w:space="0" w:color="auto"/>
        <w:bottom w:val="none" w:sz="0" w:space="0" w:color="auto"/>
        <w:right w:val="none" w:sz="0" w:space="0" w:color="auto"/>
      </w:divBdr>
    </w:div>
    <w:div w:id="823132811">
      <w:bodyDiv w:val="1"/>
      <w:marLeft w:val="0"/>
      <w:marRight w:val="0"/>
      <w:marTop w:val="0"/>
      <w:marBottom w:val="0"/>
      <w:divBdr>
        <w:top w:val="none" w:sz="0" w:space="0" w:color="auto"/>
        <w:left w:val="none" w:sz="0" w:space="0" w:color="auto"/>
        <w:bottom w:val="none" w:sz="0" w:space="0" w:color="auto"/>
        <w:right w:val="none" w:sz="0" w:space="0" w:color="auto"/>
      </w:divBdr>
    </w:div>
    <w:div w:id="944382874">
      <w:bodyDiv w:val="1"/>
      <w:marLeft w:val="0"/>
      <w:marRight w:val="0"/>
      <w:marTop w:val="0"/>
      <w:marBottom w:val="0"/>
      <w:divBdr>
        <w:top w:val="none" w:sz="0" w:space="0" w:color="auto"/>
        <w:left w:val="none" w:sz="0" w:space="0" w:color="auto"/>
        <w:bottom w:val="none" w:sz="0" w:space="0" w:color="auto"/>
        <w:right w:val="none" w:sz="0" w:space="0" w:color="auto"/>
      </w:divBdr>
    </w:div>
    <w:div w:id="1077284882">
      <w:bodyDiv w:val="1"/>
      <w:marLeft w:val="0"/>
      <w:marRight w:val="0"/>
      <w:marTop w:val="0"/>
      <w:marBottom w:val="0"/>
      <w:divBdr>
        <w:top w:val="none" w:sz="0" w:space="0" w:color="auto"/>
        <w:left w:val="none" w:sz="0" w:space="0" w:color="auto"/>
        <w:bottom w:val="none" w:sz="0" w:space="0" w:color="auto"/>
        <w:right w:val="none" w:sz="0" w:space="0" w:color="auto"/>
      </w:divBdr>
    </w:div>
    <w:div w:id="1173103461">
      <w:bodyDiv w:val="1"/>
      <w:marLeft w:val="0"/>
      <w:marRight w:val="0"/>
      <w:marTop w:val="0"/>
      <w:marBottom w:val="0"/>
      <w:divBdr>
        <w:top w:val="none" w:sz="0" w:space="0" w:color="auto"/>
        <w:left w:val="none" w:sz="0" w:space="0" w:color="auto"/>
        <w:bottom w:val="none" w:sz="0" w:space="0" w:color="auto"/>
        <w:right w:val="none" w:sz="0" w:space="0" w:color="auto"/>
      </w:divBdr>
    </w:div>
    <w:div w:id="1466780567">
      <w:bodyDiv w:val="1"/>
      <w:marLeft w:val="0"/>
      <w:marRight w:val="0"/>
      <w:marTop w:val="0"/>
      <w:marBottom w:val="0"/>
      <w:divBdr>
        <w:top w:val="none" w:sz="0" w:space="0" w:color="auto"/>
        <w:left w:val="none" w:sz="0" w:space="0" w:color="auto"/>
        <w:bottom w:val="none" w:sz="0" w:space="0" w:color="auto"/>
        <w:right w:val="none" w:sz="0" w:space="0" w:color="auto"/>
      </w:divBdr>
    </w:div>
    <w:div w:id="1522663543">
      <w:bodyDiv w:val="1"/>
      <w:marLeft w:val="0"/>
      <w:marRight w:val="0"/>
      <w:marTop w:val="0"/>
      <w:marBottom w:val="0"/>
      <w:divBdr>
        <w:top w:val="none" w:sz="0" w:space="0" w:color="auto"/>
        <w:left w:val="none" w:sz="0" w:space="0" w:color="auto"/>
        <w:bottom w:val="none" w:sz="0" w:space="0" w:color="auto"/>
        <w:right w:val="none" w:sz="0" w:space="0" w:color="auto"/>
      </w:divBdr>
    </w:div>
    <w:div w:id="1553610434">
      <w:bodyDiv w:val="1"/>
      <w:marLeft w:val="0"/>
      <w:marRight w:val="0"/>
      <w:marTop w:val="0"/>
      <w:marBottom w:val="0"/>
      <w:divBdr>
        <w:top w:val="none" w:sz="0" w:space="0" w:color="auto"/>
        <w:left w:val="none" w:sz="0" w:space="0" w:color="auto"/>
        <w:bottom w:val="none" w:sz="0" w:space="0" w:color="auto"/>
        <w:right w:val="none" w:sz="0" w:space="0" w:color="auto"/>
      </w:divBdr>
    </w:div>
    <w:div w:id="1595741701">
      <w:bodyDiv w:val="1"/>
      <w:marLeft w:val="0"/>
      <w:marRight w:val="0"/>
      <w:marTop w:val="0"/>
      <w:marBottom w:val="0"/>
      <w:divBdr>
        <w:top w:val="none" w:sz="0" w:space="0" w:color="auto"/>
        <w:left w:val="none" w:sz="0" w:space="0" w:color="auto"/>
        <w:bottom w:val="none" w:sz="0" w:space="0" w:color="auto"/>
        <w:right w:val="none" w:sz="0" w:space="0" w:color="auto"/>
      </w:divBdr>
    </w:div>
    <w:div w:id="2112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RJAH Trust Forms" ma:contentTypeID="0x0101005BBA354CB86B224089F5ABF68DE8791D00B7041CA75C27E947A59E521E5F10C439" ma:contentTypeVersion="16" ma:contentTypeDescription="Content Type to use for Trust wide forms and templates." ma:contentTypeScope="" ma:versionID="d96dc60fce3b802cdf1cb5f66417e072">
  <xsd:schema xmlns:xsd="http://www.w3.org/2001/XMLSchema" xmlns:xs="http://www.w3.org/2001/XMLSchema" xmlns:p="http://schemas.microsoft.com/office/2006/metadata/properties" xmlns:ns2="da896d9e-a76b-4b26-8fb8-eaf668f3630a" xmlns:ns3="aeb98697-7481-45b8-ade1-82990ed749b1" targetNamespace="http://schemas.microsoft.com/office/2006/metadata/properties" ma:root="true" ma:fieldsID="98ce24c66ab07f28fc988b478663855c" ns2:_="" ns3:_="">
    <xsd:import namespace="da896d9e-a76b-4b26-8fb8-eaf668f3630a"/>
    <xsd:import namespace="aeb98697-7481-45b8-ade1-82990ed749b1"/>
    <xsd:element name="properties">
      <xsd:complexType>
        <xsd:sequence>
          <xsd:element name="documentManagement">
            <xsd:complexType>
              <xsd:all>
                <xsd:element ref="ns2:h01315a4cb9b427c8d2049a3a583553b" minOccurs="0"/>
                <xsd:element ref="ns2:TaxCatchAll" minOccurs="0"/>
                <xsd:element ref="ns2:TaxCatchAllLabel" minOccurs="0"/>
                <xsd:element ref="ns2:Review_x0020_Date" minOccurs="0"/>
                <xsd:element ref="ns2:b7ad42f845cf4f1faa211406b8adba9f" minOccurs="0"/>
                <xsd:element ref="ns2:jd72fc8ce65d420c8dd9391f0ce35857" minOccurs="0"/>
                <xsd:element ref="ns2:TaxKeywordTaxHTField" minOccurs="0"/>
                <xsd:element ref="ns3:Linktop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6d9e-a76b-4b26-8fb8-eaf668f3630a" elementFormDefault="qualified">
    <xsd:import namespace="http://schemas.microsoft.com/office/2006/documentManagement/types"/>
    <xsd:import namespace="http://schemas.microsoft.com/office/infopath/2007/PartnerControls"/>
    <xsd:element name="h01315a4cb9b427c8d2049a3a583553b" ma:index="8" nillable="true" ma:taxonomy="true" ma:internalName="h01315a4cb9b427c8d2049a3a583553b" ma:taxonomyFieldName="DocumentStatus" ma:displayName="Document Status" ma:default="" ma:fieldId="{101315a4-cb9b-427c-8d20-49a3a583553b}" ma:sspId="27369afb-e37e-4766-bfc2-66fbea9a9399" ma:termSetId="d847385c-4b23-43d2-8850-1c3d72f9ae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4f32df-a663-47d9-9658-d5b4a53826d4}" ma:internalName="TaxCatchAll" ma:showField="CatchAllData"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4f32df-a663-47d9-9658-d5b4a53826d4}" ma:internalName="TaxCatchAllLabel" ma:readOnly="true" ma:showField="CatchAllDataLabel"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scription="Date due for review" ma:format="DateOnly" ma:indexed="true" ma:internalName="Review_x0020_Date">
      <xsd:simpleType>
        <xsd:restriction base="dms:DateTime"/>
      </xsd:simpleType>
    </xsd:element>
    <xsd:element name="b7ad42f845cf4f1faa211406b8adba9f" ma:index="13" nillable="true" ma:taxonomy="true" ma:internalName="b7ad42f845cf4f1faa211406b8adba9f" ma:taxonomyFieldName="DepartmentName" ma:displayName="Department Name" ma:indexed="true" ma:default="" ma:fieldId="{b7ad42f8-45cf-4f1f-aa21-1406b8adba9f}" ma:sspId="27369afb-e37e-4766-bfc2-66fbea9a9399" ma:termSetId="e60f5706-7c0e-4da7-b2da-1c2c77d5ea54" ma:anchorId="00000000-0000-0000-0000-000000000000" ma:open="false" ma:isKeyword="false">
      <xsd:complexType>
        <xsd:sequence>
          <xsd:element ref="pc:Terms" minOccurs="0" maxOccurs="1"/>
        </xsd:sequence>
      </xsd:complexType>
    </xsd:element>
    <xsd:element name="jd72fc8ce65d420c8dd9391f0ce35857" ma:index="15" nillable="true" ma:taxonomy="true" ma:internalName="jd72fc8ce65d420c8dd9391f0ce35857" ma:taxonomyFieldName="IGClass" ma:displayName="IG Class" ma:default="1;#Not Protectively Marked|f508625e-44df-419e-a3cf-2a27b34e0430" ma:fieldId="{3d72fc8c-e65d-420c-8dd9-391f0ce35857}" ma:sspId="27369afb-e37e-4766-bfc2-66fbea9a9399" ma:termSetId="5a5f59ca-75cf-4659-8eec-4a9004a0d05e"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27369afb-e37e-4766-bfc2-66fbea9a939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98697-7481-45b8-ade1-82990ed749b1" elementFormDefault="qualified">
    <xsd:import namespace="http://schemas.microsoft.com/office/2006/documentManagement/types"/>
    <xsd:import namespace="http://schemas.microsoft.com/office/infopath/2007/PartnerControls"/>
    <xsd:element name="Linktopol" ma:index="19" nillable="true" ma:displayName="Link to policy or procedure" ma:description="Add link to related policy or procedure held in Policies Library if not a standalone form or template." ma:list="{5072bec2-318b-45aa-94a6-1ac7937a6db7}" ma:internalName="Linktopo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da896d9e-a76b-4b26-8fb8-eaf668f3630a">2019-02-22T00:00:00+00:00</Review_x0020_Date>
    <b7ad42f845cf4f1faa211406b8adba9f xmlns="da896d9e-a76b-4b26-8fb8-eaf668f363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4df26c52-c712-48f7-b212-de1661c6bdc8</TermId>
        </TermInfo>
      </Terms>
    </b7ad42f845cf4f1faa211406b8adba9f>
    <Linktopol xmlns="aeb98697-7481-45b8-ade1-82990ed749b1" xsi:nil="true"/>
    <jd72fc8ce65d420c8dd9391f0ce35857 xmlns="da896d9e-a76b-4b26-8fb8-eaf668f3630a">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f508625e-44df-419e-a3cf-2a27b34e0430</TermId>
        </TermInfo>
      </Terms>
    </jd72fc8ce65d420c8dd9391f0ce35857>
    <TaxKeywordTaxHTField xmlns="da896d9e-a76b-4b26-8fb8-eaf668f3630a">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078b55c1-9d1c-410e-a4bc-019c40f7766c</TermId>
        </TermInfo>
        <TermInfo xmlns="http://schemas.microsoft.com/office/infopath/2007/PartnerControls">
          <TermName xmlns="http://schemas.microsoft.com/office/infopath/2007/PartnerControls">report</TermName>
          <TermId xmlns="http://schemas.microsoft.com/office/infopath/2007/PartnerControls">799b482a-9b96-4774-b882-bc39e3353df3</TermId>
        </TermInfo>
        <TermInfo xmlns="http://schemas.microsoft.com/office/infopath/2007/PartnerControls">
          <TermName xmlns="http://schemas.microsoft.com/office/infopath/2007/PartnerControls">template</TermName>
          <TermId xmlns="http://schemas.microsoft.com/office/infopath/2007/PartnerControls">daa074e4-f698-472d-92e7-528cb4947c1b</TermId>
        </TermInfo>
        <TermInfo xmlns="http://schemas.microsoft.com/office/infopath/2007/PartnerControls">
          <TermName xmlns="http://schemas.microsoft.com/office/infopath/2007/PartnerControls">front sheet</TermName>
          <TermId xmlns="http://schemas.microsoft.com/office/infopath/2007/PartnerControls">9cad27a0-65b8-4864-b47d-cb021a0e1875</TermId>
        </TermInfo>
      </Terms>
    </TaxKeywordTaxHTField>
    <TaxCatchAll xmlns="da896d9e-a76b-4b26-8fb8-eaf668f3630a">
      <Value>911</Value>
      <Value>38</Value>
      <Value>1470</Value>
      <Value>1469</Value>
      <Value>1468</Value>
      <Value>1</Value>
      <Value>12</Value>
    </TaxCatchAll>
    <h01315a4cb9b427c8d2049a3a583553b xmlns="da896d9e-a76b-4b26-8fb8-eaf668f3630a">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d96f5379-e81a-4551-a93b-af9d49b92ef5</TermId>
        </TermInfo>
      </Terms>
    </h01315a4cb9b427c8d2049a3a583553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7369afb-e37e-4766-bfc2-66fbea9a9399" ContentTypeId="0x0101005BBA354CB86B224089F5ABF68DE8791D" PreviousValue="false"/>
</file>

<file path=customXml/itemProps1.xml><?xml version="1.0" encoding="utf-8"?>
<ds:datastoreItem xmlns:ds="http://schemas.openxmlformats.org/officeDocument/2006/customXml" ds:itemID="{D002D8C7-8A00-4B33-96FA-9E494784C0CC}">
  <ds:schemaRefs>
    <ds:schemaRef ds:uri="http://schemas.microsoft.com/office/2006/metadata/customXsn"/>
  </ds:schemaRefs>
</ds:datastoreItem>
</file>

<file path=customXml/itemProps2.xml><?xml version="1.0" encoding="utf-8"?>
<ds:datastoreItem xmlns:ds="http://schemas.openxmlformats.org/officeDocument/2006/customXml" ds:itemID="{B7F1192E-2C6B-47EC-99D8-867501C7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6d9e-a76b-4b26-8fb8-eaf668f3630a"/>
    <ds:schemaRef ds:uri="aeb98697-7481-45b8-ade1-82990ed74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B64A3-AFFF-47DB-A4BE-D1D8DCC769F4}">
  <ds:schemaRefs>
    <ds:schemaRef ds:uri="http://schemas.microsoft.com/office/2006/metadata/properties"/>
    <ds:schemaRef ds:uri="http://schemas.microsoft.com/office/infopath/2007/PartnerControls"/>
    <ds:schemaRef ds:uri="da896d9e-a76b-4b26-8fb8-eaf668f3630a"/>
    <ds:schemaRef ds:uri="aeb98697-7481-45b8-ade1-82990ed749b1"/>
  </ds:schemaRefs>
</ds:datastoreItem>
</file>

<file path=customXml/itemProps4.xml><?xml version="1.0" encoding="utf-8"?>
<ds:datastoreItem xmlns:ds="http://schemas.openxmlformats.org/officeDocument/2006/customXml" ds:itemID="{6A80FAFF-CFCB-4EFC-A8D9-BF7BFDCCCD18}">
  <ds:schemaRefs>
    <ds:schemaRef ds:uri="http://schemas.openxmlformats.org/officeDocument/2006/bibliography"/>
  </ds:schemaRefs>
</ds:datastoreItem>
</file>

<file path=customXml/itemProps5.xml><?xml version="1.0" encoding="utf-8"?>
<ds:datastoreItem xmlns:ds="http://schemas.openxmlformats.org/officeDocument/2006/customXml" ds:itemID="{1812BD9C-71B5-4F69-B1A2-70C908177420}">
  <ds:schemaRefs>
    <ds:schemaRef ds:uri="http://schemas.microsoft.com/sharepoint/v3/contenttype/forms"/>
  </ds:schemaRefs>
</ds:datastoreItem>
</file>

<file path=customXml/itemProps6.xml><?xml version="1.0" encoding="utf-8"?>
<ds:datastoreItem xmlns:ds="http://schemas.openxmlformats.org/officeDocument/2006/customXml" ds:itemID="{D90F0D66-D256-4E2E-B7D9-9FA5B01D263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2410</Words>
  <Characters>13743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Committee Report Template</vt:lpstr>
    </vt:vector>
  </TitlesOfParts>
  <Company>Royal Surrey County Hospital NHS Foundation Trust</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Template</dc:title>
  <dc:creator>Shelley Ramtuhul</dc:creator>
  <cp:keywords>committee; front sheet; report; template</cp:keywords>
  <cp:lastModifiedBy>BARDSLEY, Mary (THE ROBERT JONES AND AGNES HUNT ORTHOPAEDIC HOSPITAL NHS FOUNDATION TRUST)</cp:lastModifiedBy>
  <cp:revision>2</cp:revision>
  <cp:lastPrinted>2017-01-06T12:59:00Z</cp:lastPrinted>
  <dcterms:created xsi:type="dcterms:W3CDTF">2023-09-19T13:27:00Z</dcterms:created>
  <dcterms:modified xsi:type="dcterms:W3CDTF">2023-09-19T13:27:00Z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0x0101005BBA354CB86B224089F5ABF68DE8791D00B7041CA75C27E947A59E521E5F10C439</vt:lpwstr>
  </property>
  <property fmtid="{D5CDD505-2E9C-101B-9397-08002B2CF9AE}" pid="3" name="TaxKeyword">
    <vt:lpwstr>1468;#committee|078b55c1-9d1c-410e-a4bc-019c40f7766c;#1469;#report|799b482a-9b96-4774-b882-bc39e3353df3;#911;#template|daa074e4-f698-472d-92e7-528cb4947c1b;#1470;#front sheet|9cad27a0-65b8-4864-b47d-cb021a0e1875</vt:lpwstr>
  </property>
  <property fmtid="{D5CDD505-2E9C-101B-9397-08002B2CF9AE}" pid="4" name="DepartmentName">
    <vt:lpwstr>38;#Corporate|4df26c52-c712-48f7-b212-de1661c6bdc8</vt:lpwstr>
  </property>
  <property fmtid="{D5CDD505-2E9C-101B-9397-08002B2CF9AE}" pid="5" name="DocumentStatus">
    <vt:lpwstr>12;#Published|d96f5379-e81a-4551-a93b-af9d49b92ef5</vt:lpwstr>
  </property>
  <property fmtid="{D5CDD505-2E9C-101B-9397-08002B2CF9AE}" pid="6" name="IGClass">
    <vt:lpwstr>1;#Not Protectively Marked|f508625e-44df-419e-a3cf-2a27b34e0430</vt:lpwstr>
  </property>
</Properties>
</file>